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3442"/>
        <w:gridCol w:w="7298"/>
        <w:gridCol w:w="910"/>
        <w:gridCol w:w="1783"/>
        <w:gridCol w:w="1276"/>
      </w:tblGrid>
      <w:tr w:rsidR="00F023E1" w:rsidRPr="002E189A" w:rsidTr="00F8240C">
        <w:trPr>
          <w:trHeight w:val="476"/>
        </w:trPr>
        <w:tc>
          <w:tcPr>
            <w:tcW w:w="3442" w:type="dxa"/>
          </w:tcPr>
          <w:p w:rsidR="00F023E1" w:rsidRPr="002E189A" w:rsidRDefault="00E825AE">
            <w:pPr>
              <w:rPr>
                <w:rFonts w:ascii="Cambria" w:hAnsi="Cambria"/>
                <w:b/>
              </w:rPr>
            </w:pPr>
            <w:r w:rsidRPr="002E189A">
              <w:rPr>
                <w:rFonts w:ascii="Cambria" w:hAnsi="Cambria"/>
                <w:b/>
              </w:rPr>
              <w:t>Element</w:t>
            </w:r>
          </w:p>
        </w:tc>
        <w:tc>
          <w:tcPr>
            <w:tcW w:w="7298" w:type="dxa"/>
          </w:tcPr>
          <w:p w:rsidR="00F023E1" w:rsidRPr="002E189A" w:rsidRDefault="00E825AE" w:rsidP="00883757">
            <w:pPr>
              <w:jc w:val="center"/>
              <w:rPr>
                <w:rFonts w:ascii="Cambria" w:hAnsi="Cambria"/>
                <w:b/>
              </w:rPr>
            </w:pPr>
            <w:r w:rsidRPr="002E189A">
              <w:rPr>
                <w:rFonts w:ascii="Cambria" w:hAnsi="Cambria"/>
                <w:b/>
              </w:rPr>
              <w:t>Activity</w:t>
            </w:r>
          </w:p>
        </w:tc>
        <w:tc>
          <w:tcPr>
            <w:tcW w:w="910" w:type="dxa"/>
          </w:tcPr>
          <w:p w:rsidR="00F023E1" w:rsidRPr="002E189A" w:rsidRDefault="00F023E1" w:rsidP="00883757">
            <w:pPr>
              <w:jc w:val="center"/>
              <w:rPr>
                <w:rFonts w:ascii="Cambria" w:hAnsi="Cambria"/>
                <w:b/>
              </w:rPr>
            </w:pPr>
            <w:r w:rsidRPr="002E189A">
              <w:rPr>
                <w:rFonts w:ascii="Cambria" w:hAnsi="Cambria"/>
                <w:b/>
              </w:rPr>
              <w:t>Due</w:t>
            </w:r>
          </w:p>
        </w:tc>
        <w:tc>
          <w:tcPr>
            <w:tcW w:w="1783" w:type="dxa"/>
          </w:tcPr>
          <w:p w:rsidR="00F023E1" w:rsidRPr="002E189A" w:rsidRDefault="00F023E1" w:rsidP="00883757">
            <w:pPr>
              <w:jc w:val="center"/>
              <w:rPr>
                <w:rFonts w:ascii="Cambria" w:hAnsi="Cambria"/>
                <w:b/>
              </w:rPr>
            </w:pPr>
            <w:r w:rsidRPr="002E189A">
              <w:rPr>
                <w:rFonts w:ascii="Cambria" w:hAnsi="Cambria"/>
                <w:b/>
              </w:rPr>
              <w:t>Responsibility</w:t>
            </w:r>
          </w:p>
        </w:tc>
        <w:tc>
          <w:tcPr>
            <w:tcW w:w="1276" w:type="dxa"/>
          </w:tcPr>
          <w:p w:rsidR="00F023E1" w:rsidRPr="002E189A" w:rsidRDefault="00F023E1" w:rsidP="00883757">
            <w:pPr>
              <w:jc w:val="center"/>
              <w:rPr>
                <w:rFonts w:ascii="Cambria" w:hAnsi="Cambria"/>
                <w:b/>
              </w:rPr>
            </w:pPr>
            <w:r w:rsidRPr="002E189A">
              <w:rPr>
                <w:rFonts w:ascii="Cambria" w:hAnsi="Cambria"/>
                <w:b/>
              </w:rPr>
              <w:t>Completed</w:t>
            </w:r>
          </w:p>
        </w:tc>
      </w:tr>
      <w:tr w:rsidR="00DF185E" w:rsidRPr="002E189A" w:rsidTr="00F8240C">
        <w:tc>
          <w:tcPr>
            <w:tcW w:w="14709" w:type="dxa"/>
            <w:gridSpan w:val="5"/>
          </w:tcPr>
          <w:p w:rsidR="00EE126D" w:rsidRPr="002E189A" w:rsidRDefault="00EE126D" w:rsidP="00DF185E">
            <w:pPr>
              <w:jc w:val="center"/>
              <w:rPr>
                <w:rFonts w:ascii="Cambria" w:hAnsi="Cambria"/>
                <w:b/>
                <w:u w:val="single"/>
              </w:rPr>
            </w:pPr>
          </w:p>
          <w:p w:rsidR="00DF185E" w:rsidRPr="002E189A" w:rsidRDefault="00DF185E" w:rsidP="00DF185E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2E189A">
              <w:rPr>
                <w:rFonts w:ascii="Cambria" w:hAnsi="Cambria"/>
                <w:b/>
                <w:u w:val="single"/>
              </w:rPr>
              <w:t>Overarching GOMC Communications Plan</w:t>
            </w:r>
          </w:p>
          <w:p w:rsidR="00DF185E" w:rsidRPr="002E189A" w:rsidRDefault="00DF185E" w:rsidP="00DF185E">
            <w:pPr>
              <w:jc w:val="center"/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(year round and into the future)</w:t>
            </w:r>
          </w:p>
          <w:p w:rsidR="00EE126D" w:rsidRPr="002E189A" w:rsidRDefault="00EE126D" w:rsidP="00DF185E">
            <w:pPr>
              <w:jc w:val="center"/>
              <w:rPr>
                <w:rFonts w:ascii="Cambria" w:hAnsi="Cambria"/>
              </w:rPr>
            </w:pPr>
          </w:p>
        </w:tc>
      </w:tr>
      <w:tr w:rsidR="00250FD8" w:rsidRPr="002E189A" w:rsidTr="00F8240C">
        <w:tc>
          <w:tcPr>
            <w:tcW w:w="3442" w:type="dxa"/>
          </w:tcPr>
          <w:p w:rsidR="00250FD8" w:rsidRPr="002E189A" w:rsidRDefault="009766E9" w:rsidP="00250FD8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Planning</w:t>
            </w:r>
          </w:p>
        </w:tc>
        <w:tc>
          <w:tcPr>
            <w:tcW w:w="7298" w:type="dxa"/>
          </w:tcPr>
          <w:p w:rsidR="00250FD8" w:rsidRPr="002E189A" w:rsidRDefault="00250FD8" w:rsidP="0071269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Revise draft Communications Plan</w:t>
            </w:r>
          </w:p>
          <w:p w:rsidR="00250FD8" w:rsidRPr="002E189A" w:rsidRDefault="00250FD8" w:rsidP="00250FD8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Confirm overarching </w:t>
            </w:r>
            <w:r w:rsidR="009766E9" w:rsidRPr="002E189A">
              <w:rPr>
                <w:rFonts w:ascii="Cambria" w:hAnsi="Cambria"/>
              </w:rPr>
              <w:t>o</w:t>
            </w:r>
            <w:r w:rsidRPr="002E189A">
              <w:rPr>
                <w:rFonts w:ascii="Cambria" w:hAnsi="Cambria"/>
              </w:rPr>
              <w:t xml:space="preserve">bjectives, </w:t>
            </w:r>
            <w:r w:rsidR="009766E9" w:rsidRPr="002E189A">
              <w:rPr>
                <w:rFonts w:ascii="Cambria" w:hAnsi="Cambria"/>
              </w:rPr>
              <w:t xml:space="preserve">messaging about GOMC’s mandate, accomplishments and vision for the future, </w:t>
            </w:r>
            <w:r w:rsidRPr="002E189A">
              <w:rPr>
                <w:rFonts w:ascii="Cambria" w:hAnsi="Cambria"/>
              </w:rPr>
              <w:t xml:space="preserve">as well as </w:t>
            </w:r>
            <w:r w:rsidR="009766E9" w:rsidRPr="002E189A">
              <w:rPr>
                <w:rFonts w:ascii="Cambria" w:hAnsi="Cambria"/>
              </w:rPr>
              <w:t xml:space="preserve">long-term </w:t>
            </w:r>
            <w:r w:rsidRPr="002E189A">
              <w:rPr>
                <w:rFonts w:ascii="Cambria" w:hAnsi="Cambria"/>
              </w:rPr>
              <w:t>communications priorities (key target groups, time commitments of Spokespeople, etc.)</w:t>
            </w:r>
            <w:r w:rsidR="009766E9" w:rsidRPr="002E189A">
              <w:rPr>
                <w:rFonts w:ascii="Cambria" w:hAnsi="Cambria"/>
              </w:rPr>
              <w:t xml:space="preserve">, </w:t>
            </w:r>
          </w:p>
          <w:p w:rsidR="00250FD8" w:rsidRPr="002E189A" w:rsidRDefault="00250FD8" w:rsidP="00250FD8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Confirm annual budget, </w:t>
            </w:r>
          </w:p>
          <w:p w:rsidR="00250FD8" w:rsidRPr="002E189A" w:rsidRDefault="00250FD8" w:rsidP="00250FD8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Develop tasking list, identify lead responsibilities, and set deadlines</w:t>
            </w:r>
          </w:p>
          <w:p w:rsidR="00250FD8" w:rsidRPr="002E189A" w:rsidRDefault="00250FD8" w:rsidP="00250FD8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Get approvals (Outreach Committee, Working Group, and Council)</w:t>
            </w:r>
          </w:p>
          <w:p w:rsidR="009766E9" w:rsidRPr="002E189A" w:rsidRDefault="009766E9" w:rsidP="00250FD8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Develop a template for future overarching annual Communications plans</w:t>
            </w:r>
          </w:p>
        </w:tc>
        <w:tc>
          <w:tcPr>
            <w:tcW w:w="910" w:type="dxa"/>
          </w:tcPr>
          <w:p w:rsidR="00250FD8" w:rsidRPr="002E189A" w:rsidRDefault="00250FD8">
            <w:pPr>
              <w:rPr>
                <w:rFonts w:ascii="Cambria" w:hAnsi="Cambria"/>
              </w:rPr>
            </w:pPr>
          </w:p>
        </w:tc>
        <w:tc>
          <w:tcPr>
            <w:tcW w:w="1783" w:type="dxa"/>
          </w:tcPr>
          <w:p w:rsidR="00250FD8" w:rsidRPr="002E189A" w:rsidRDefault="00250FD8" w:rsidP="00D066BE">
            <w:pPr>
              <w:ind w:left="72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250FD8" w:rsidRPr="002E189A" w:rsidRDefault="00250FD8">
            <w:pPr>
              <w:rPr>
                <w:rFonts w:ascii="Cambria" w:hAnsi="Cambria" w:cs="Arabic Typesetting"/>
              </w:rPr>
            </w:pPr>
          </w:p>
        </w:tc>
      </w:tr>
      <w:tr w:rsidR="00F023E1" w:rsidRPr="002E189A" w:rsidTr="00F8240C">
        <w:tc>
          <w:tcPr>
            <w:tcW w:w="3442" w:type="dxa"/>
          </w:tcPr>
          <w:p w:rsidR="00F023E1" w:rsidRPr="002E189A" w:rsidRDefault="009766E9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Product development</w:t>
            </w:r>
          </w:p>
        </w:tc>
        <w:tc>
          <w:tcPr>
            <w:tcW w:w="7298" w:type="dxa"/>
          </w:tcPr>
          <w:p w:rsidR="009766E9" w:rsidRPr="002E189A" w:rsidRDefault="00094F07" w:rsidP="009766E9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Put out an annual year-end call</w:t>
            </w:r>
            <w:r w:rsidR="009766E9" w:rsidRPr="002E189A">
              <w:rPr>
                <w:rFonts w:ascii="Cambria" w:hAnsi="Cambria"/>
              </w:rPr>
              <w:t xml:space="preserve"> (</w:t>
            </w:r>
            <w:r w:rsidRPr="002E189A">
              <w:rPr>
                <w:rFonts w:ascii="Cambria" w:hAnsi="Cambria"/>
              </w:rPr>
              <w:t>to Council, Working Group</w:t>
            </w:r>
            <w:r w:rsidR="009766E9" w:rsidRPr="002E189A">
              <w:rPr>
                <w:rFonts w:ascii="Cambria" w:hAnsi="Cambria"/>
              </w:rPr>
              <w:t>,</w:t>
            </w:r>
            <w:r w:rsidRPr="002E189A">
              <w:rPr>
                <w:rFonts w:ascii="Cambria" w:hAnsi="Cambria"/>
              </w:rPr>
              <w:t xml:space="preserve"> and sub-Committee members</w:t>
            </w:r>
            <w:r w:rsidR="009766E9" w:rsidRPr="002E189A">
              <w:rPr>
                <w:rFonts w:ascii="Cambria" w:hAnsi="Cambria"/>
              </w:rPr>
              <w:t>)</w:t>
            </w:r>
            <w:r w:rsidRPr="002E189A">
              <w:rPr>
                <w:rFonts w:ascii="Cambria" w:hAnsi="Cambria"/>
              </w:rPr>
              <w:t xml:space="preserve"> </w:t>
            </w:r>
            <w:r w:rsidR="009766E9" w:rsidRPr="002E189A">
              <w:rPr>
                <w:rFonts w:ascii="Cambria" w:hAnsi="Cambria"/>
              </w:rPr>
              <w:t>to develop an annual production plan, linked directly to the annual overarching strategy</w:t>
            </w:r>
          </w:p>
          <w:p w:rsidR="00094F07" w:rsidRPr="002E189A" w:rsidRDefault="00094F07" w:rsidP="00EA4F6A">
            <w:pPr>
              <w:rPr>
                <w:rFonts w:ascii="Cambria" w:hAnsi="Cambria"/>
              </w:rPr>
            </w:pPr>
            <w:bookmarkStart w:id="0" w:name="_GoBack"/>
            <w:bookmarkEnd w:id="0"/>
            <w:r w:rsidRPr="002E189A">
              <w:rPr>
                <w:rFonts w:ascii="Cambria" w:hAnsi="Cambria"/>
              </w:rPr>
              <w:t xml:space="preserve">Provide a form to be completed that will identify: </w:t>
            </w:r>
          </w:p>
          <w:p w:rsidR="008F3CDA" w:rsidRPr="002E189A" w:rsidRDefault="00094F07" w:rsidP="00EA4F6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what product is being requested (electronic, print, recorded, products </w:t>
            </w:r>
            <w:proofErr w:type="spellStart"/>
            <w:r w:rsidRPr="002E189A">
              <w:rPr>
                <w:rFonts w:ascii="Cambria" w:hAnsi="Cambria"/>
              </w:rPr>
              <w:t>etc</w:t>
            </w:r>
            <w:proofErr w:type="spellEnd"/>
            <w:r w:rsidRPr="002E189A">
              <w:rPr>
                <w:rFonts w:ascii="Cambria" w:hAnsi="Cambria"/>
              </w:rPr>
              <w:t>);  the need/rationale for the request</w:t>
            </w:r>
            <w:r w:rsidR="008F3CDA" w:rsidRPr="002E189A">
              <w:rPr>
                <w:rFonts w:ascii="Cambria" w:hAnsi="Cambria"/>
              </w:rPr>
              <w:t>;</w:t>
            </w:r>
          </w:p>
          <w:p w:rsidR="008F3CDA" w:rsidRPr="002E189A" w:rsidRDefault="00094F07" w:rsidP="00EA4F6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the</w:t>
            </w:r>
            <w:r w:rsidR="008F3CDA" w:rsidRPr="002E189A">
              <w:rPr>
                <w:rFonts w:ascii="Cambria" w:hAnsi="Cambria"/>
              </w:rPr>
              <w:t xml:space="preserve"> intended </w:t>
            </w:r>
            <w:r w:rsidRPr="002E189A">
              <w:rPr>
                <w:rFonts w:ascii="Cambria" w:hAnsi="Cambria"/>
              </w:rPr>
              <w:t xml:space="preserve">audience(s) </w:t>
            </w:r>
          </w:p>
          <w:p w:rsidR="00094F07" w:rsidRPr="002E189A" w:rsidRDefault="009766E9" w:rsidP="00EA4F6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how the request links</w:t>
            </w:r>
            <w:r w:rsidR="00094F07" w:rsidRPr="002E189A">
              <w:rPr>
                <w:rFonts w:ascii="Cambria" w:hAnsi="Cambria"/>
              </w:rPr>
              <w:t xml:space="preserve"> to the </w:t>
            </w:r>
            <w:r w:rsidRPr="002E189A">
              <w:rPr>
                <w:rFonts w:ascii="Cambria" w:hAnsi="Cambria"/>
              </w:rPr>
              <w:t xml:space="preserve">approved </w:t>
            </w:r>
            <w:r w:rsidR="00094F07" w:rsidRPr="002E189A">
              <w:rPr>
                <w:rFonts w:ascii="Cambria" w:hAnsi="Cambria"/>
              </w:rPr>
              <w:t>overarching strategy</w:t>
            </w:r>
          </w:p>
          <w:p w:rsidR="009766E9" w:rsidRPr="002E189A" w:rsidRDefault="009766E9" w:rsidP="00EA4F6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the distribution plan</w:t>
            </w:r>
          </w:p>
          <w:p w:rsidR="009766E9" w:rsidRPr="002E189A" w:rsidRDefault="009766E9" w:rsidP="00EA4F6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the budget for the request</w:t>
            </w:r>
          </w:p>
          <w:p w:rsidR="009766E9" w:rsidRPr="002E189A" w:rsidRDefault="009766E9" w:rsidP="00EA4F6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the deadline</w:t>
            </w:r>
          </w:p>
          <w:p w:rsidR="009766E9" w:rsidRPr="002E189A" w:rsidRDefault="009766E9" w:rsidP="00EA4F6A">
            <w:pPr>
              <w:rPr>
                <w:rFonts w:ascii="Cambria" w:hAnsi="Cambria"/>
              </w:rPr>
            </w:pPr>
          </w:p>
          <w:p w:rsidR="00F023E1" w:rsidRPr="002E189A" w:rsidRDefault="00F023E1" w:rsidP="009766E9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Provide </w:t>
            </w:r>
            <w:r w:rsidR="00094F07" w:rsidRPr="002E189A">
              <w:rPr>
                <w:rFonts w:ascii="Cambria" w:hAnsi="Cambria"/>
              </w:rPr>
              <w:t>advice,</w:t>
            </w:r>
            <w:r w:rsidR="009766E9" w:rsidRPr="002E189A">
              <w:rPr>
                <w:rFonts w:ascii="Cambria" w:hAnsi="Cambria"/>
              </w:rPr>
              <w:t xml:space="preserve"> as necessary and contribute to front-end discussions about</w:t>
            </w:r>
            <w:r w:rsidRPr="002E189A">
              <w:rPr>
                <w:rFonts w:ascii="Cambria" w:hAnsi="Cambria"/>
              </w:rPr>
              <w:t xml:space="preserve"> </w:t>
            </w:r>
            <w:r w:rsidR="009766E9" w:rsidRPr="002E189A">
              <w:rPr>
                <w:rFonts w:ascii="Cambria" w:hAnsi="Cambria"/>
              </w:rPr>
              <w:t xml:space="preserve">the possible </w:t>
            </w:r>
            <w:r w:rsidRPr="002E189A">
              <w:rPr>
                <w:rFonts w:ascii="Cambria" w:hAnsi="Cambria"/>
              </w:rPr>
              <w:t xml:space="preserve">development of products </w:t>
            </w:r>
          </w:p>
        </w:tc>
        <w:tc>
          <w:tcPr>
            <w:tcW w:w="910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783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</w:tr>
      <w:tr w:rsidR="00E825AE" w:rsidRPr="002E189A" w:rsidTr="00F8240C">
        <w:tc>
          <w:tcPr>
            <w:tcW w:w="3442" w:type="dxa"/>
          </w:tcPr>
          <w:p w:rsidR="00E825AE" w:rsidRPr="002E189A" w:rsidRDefault="00B5595E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Branding</w:t>
            </w: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Follow up on branding tools</w:t>
            </w:r>
            <w:r w:rsidR="000B23CD" w:rsidRPr="002E189A">
              <w:rPr>
                <w:rFonts w:ascii="Cambria" w:hAnsi="Cambria"/>
              </w:rPr>
              <w:t xml:space="preserve"> (is the artwork in </w:t>
            </w:r>
            <w:proofErr w:type="spellStart"/>
            <w:r w:rsidR="000B23CD" w:rsidRPr="002E189A">
              <w:rPr>
                <w:rFonts w:ascii="Cambria" w:hAnsi="Cambria"/>
              </w:rPr>
              <w:t>pdf</w:t>
            </w:r>
            <w:proofErr w:type="spellEnd"/>
            <w:r w:rsidR="00EA1EFF" w:rsidRPr="002E189A">
              <w:rPr>
                <w:rFonts w:ascii="Cambria" w:hAnsi="Cambria"/>
              </w:rPr>
              <w:t xml:space="preserve"> and ready for use on products, </w:t>
            </w:r>
            <w:r w:rsidR="000B23CD" w:rsidRPr="002E189A">
              <w:rPr>
                <w:rFonts w:ascii="Cambria" w:hAnsi="Cambria"/>
              </w:rPr>
              <w:t>e.g. News Releases, social media sites, etc.)</w:t>
            </w:r>
          </w:p>
          <w:p w:rsidR="00EA1EFF" w:rsidRPr="002E189A" w:rsidRDefault="00B5595E" w:rsidP="00EA4F6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Develop an overall branding strategy</w:t>
            </w:r>
            <w:r w:rsidR="00EA1EFF" w:rsidRPr="002E189A">
              <w:rPr>
                <w:rFonts w:ascii="Cambria" w:hAnsi="Cambria"/>
              </w:rPr>
              <w:t xml:space="preserve"> that ties in each project funded through GOMC partners to the priorities of the group, which in turn reflect the overall vision for Gulf of Maine itself, as a living entity requiring shared stewardship.</w:t>
            </w:r>
          </w:p>
          <w:p w:rsidR="00B5595E" w:rsidRPr="002E189A" w:rsidRDefault="00EA1EFF" w:rsidP="00EA1EFF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Using logos and website references, consistently (leave out any references to contractors on the </w:t>
            </w:r>
            <w:proofErr w:type="spellStart"/>
            <w:r w:rsidRPr="002E189A">
              <w:rPr>
                <w:rFonts w:ascii="Cambria" w:hAnsi="Cambria"/>
              </w:rPr>
              <w:t>comms</w:t>
            </w:r>
            <w:proofErr w:type="spellEnd"/>
            <w:r w:rsidRPr="002E189A">
              <w:rPr>
                <w:rFonts w:ascii="Cambria" w:hAnsi="Cambria"/>
              </w:rPr>
              <w:t xml:space="preserve"> products), on all GOMC funded reports, tweets, etc.</w:t>
            </w: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783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8240C">
        <w:tc>
          <w:tcPr>
            <w:tcW w:w="3442" w:type="dxa"/>
          </w:tcPr>
          <w:p w:rsidR="00E825AE" w:rsidRPr="002E189A" w:rsidRDefault="00B5595E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lastRenderedPageBreak/>
              <w:t>Promotion</w:t>
            </w:r>
          </w:p>
        </w:tc>
        <w:tc>
          <w:tcPr>
            <w:tcW w:w="7298" w:type="dxa"/>
          </w:tcPr>
          <w:p w:rsidR="00AB391C" w:rsidRPr="002E189A" w:rsidRDefault="00E825AE" w:rsidP="00EA1EFF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Draft articles about the GOMC for widespread publication</w:t>
            </w:r>
            <w:r w:rsidR="000B23CD" w:rsidRPr="002E189A">
              <w:rPr>
                <w:rFonts w:ascii="Cambria" w:hAnsi="Cambria"/>
              </w:rPr>
              <w:t xml:space="preserve">, through targeted media, website, social media, etc. </w:t>
            </w:r>
          </w:p>
          <w:p w:rsidR="00AB391C" w:rsidRPr="002E189A" w:rsidRDefault="00EA1EFF" w:rsidP="00EA1EFF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Ensure each</w:t>
            </w:r>
            <w:r w:rsidR="00AB391C" w:rsidRPr="002E189A">
              <w:rPr>
                <w:rFonts w:ascii="Cambria" w:hAnsi="Cambria"/>
              </w:rPr>
              <w:t xml:space="preserve"> article, fact sheet, presentation, display, web feature, or any other communications product</w:t>
            </w:r>
            <w:r w:rsidRPr="002E189A">
              <w:rPr>
                <w:rFonts w:ascii="Cambria" w:hAnsi="Cambria"/>
              </w:rPr>
              <w:t xml:space="preserve"> does one </w:t>
            </w:r>
            <w:r w:rsidR="00AB391C" w:rsidRPr="002E189A">
              <w:rPr>
                <w:rFonts w:ascii="Cambria" w:hAnsi="Cambria"/>
              </w:rPr>
              <w:t xml:space="preserve">or more </w:t>
            </w:r>
            <w:r w:rsidRPr="002E189A">
              <w:rPr>
                <w:rFonts w:ascii="Cambria" w:hAnsi="Cambria"/>
              </w:rPr>
              <w:t xml:space="preserve">of the following: </w:t>
            </w:r>
          </w:p>
          <w:p w:rsidR="00EA1EFF" w:rsidRPr="002E189A" w:rsidRDefault="00EA1EFF" w:rsidP="00EA1EFF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speaks about the GOMC’s achievements (recent and over the past 25 years, making info accessible and readily searchable on the website);</w:t>
            </w:r>
          </w:p>
          <w:p w:rsidR="00E825AE" w:rsidRPr="002E189A" w:rsidRDefault="00EA1EFF" w:rsidP="00AB391C">
            <w:pPr>
              <w:rPr>
                <w:rFonts w:ascii="Cambria" w:hAnsi="Cambria"/>
              </w:rPr>
            </w:pPr>
            <w:proofErr w:type="gramStart"/>
            <w:r w:rsidRPr="002E189A">
              <w:rPr>
                <w:rFonts w:ascii="Cambria" w:hAnsi="Cambria"/>
              </w:rPr>
              <w:t>reinforces</w:t>
            </w:r>
            <w:proofErr w:type="gramEnd"/>
            <w:r w:rsidRPr="002E189A">
              <w:rPr>
                <w:rFonts w:ascii="Cambria" w:hAnsi="Cambria"/>
              </w:rPr>
              <w:t xml:space="preserve"> key messaging outlined in the overarching strategy;  addresses specific topical issues</w:t>
            </w:r>
            <w:r w:rsidR="00AB391C" w:rsidRPr="002E189A">
              <w:rPr>
                <w:rFonts w:ascii="Cambria" w:hAnsi="Cambria"/>
              </w:rPr>
              <w:t xml:space="preserve"> and/</w:t>
            </w:r>
            <w:r w:rsidRPr="002E189A">
              <w:rPr>
                <w:rFonts w:ascii="Cambria" w:hAnsi="Cambria"/>
              </w:rPr>
              <w:t>or longer-term strategic considerations.</w:t>
            </w: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783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8240C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1D378D" w:rsidRPr="002E189A" w:rsidRDefault="00E825AE" w:rsidP="00A055A2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Prepare biographies </w:t>
            </w:r>
            <w:r w:rsidR="000B23CD" w:rsidRPr="002E189A">
              <w:rPr>
                <w:rFonts w:ascii="Cambria" w:hAnsi="Cambria"/>
              </w:rPr>
              <w:t xml:space="preserve">(and bibliographies of any published materials) </w:t>
            </w:r>
            <w:r w:rsidRPr="002E189A">
              <w:rPr>
                <w:rFonts w:ascii="Cambria" w:hAnsi="Cambria"/>
              </w:rPr>
              <w:t>on Council Members (translate</w:t>
            </w:r>
            <w:r w:rsidR="001D378D" w:rsidRPr="002E189A">
              <w:rPr>
                <w:rFonts w:ascii="Cambria" w:hAnsi="Cambria"/>
              </w:rPr>
              <w:t xml:space="preserve">, where necessary for international </w:t>
            </w:r>
            <w:proofErr w:type="spellStart"/>
            <w:r w:rsidR="001D378D" w:rsidRPr="002E189A">
              <w:rPr>
                <w:rFonts w:ascii="Cambria" w:hAnsi="Cambria"/>
              </w:rPr>
              <w:t>fora</w:t>
            </w:r>
            <w:proofErr w:type="spellEnd"/>
            <w:r w:rsidRPr="002E189A">
              <w:rPr>
                <w:rFonts w:ascii="Cambria" w:hAnsi="Cambria"/>
              </w:rPr>
              <w:t>?)</w:t>
            </w:r>
          </w:p>
          <w:p w:rsidR="00E825AE" w:rsidRPr="002E189A" w:rsidRDefault="00A055A2" w:rsidP="00A055A2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 – can be used for website, electronic media kits, conference organizers, Speakers Bureau </w:t>
            </w: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783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8240C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2767C7" w:rsidP="00072D91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Prepare a briefing package for </w:t>
            </w:r>
            <w:r w:rsidR="00072D91" w:rsidRPr="002E189A">
              <w:rPr>
                <w:rFonts w:ascii="Cambria" w:hAnsi="Cambria"/>
              </w:rPr>
              <w:t xml:space="preserve">Council Members/or </w:t>
            </w:r>
            <w:r w:rsidRPr="002E189A">
              <w:rPr>
                <w:rFonts w:ascii="Cambria" w:hAnsi="Cambria"/>
              </w:rPr>
              <w:t>elected officials to promote activities to date and highlight vision for the future</w:t>
            </w:r>
            <w:r w:rsidR="00834EEF" w:rsidRPr="002E189A">
              <w:rPr>
                <w:rFonts w:ascii="Cambria" w:hAnsi="Cambria"/>
              </w:rPr>
              <w:t>, for use at related events they may be attending</w:t>
            </w:r>
            <w:r w:rsidR="00072D91" w:rsidRPr="002E189A">
              <w:rPr>
                <w:rFonts w:ascii="Cambria" w:hAnsi="Cambria"/>
              </w:rPr>
              <w:t xml:space="preserve"> </w:t>
            </w:r>
            <w:r w:rsidR="00072D91" w:rsidRPr="002E189A">
              <w:rPr>
                <w:rFonts w:ascii="Cambria" w:hAnsi="Cambria"/>
              </w:rPr>
              <w:t>in their respective constituencies</w:t>
            </w: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783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8240C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AD55AC" w:rsidRPr="002E189A" w:rsidRDefault="000B23CD" w:rsidP="00EA4F6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Develop a list of events/opportunities for Council Members, Working Group membe</w:t>
            </w:r>
            <w:r w:rsidR="00652918" w:rsidRPr="002E189A">
              <w:rPr>
                <w:rFonts w:ascii="Cambria" w:hAnsi="Cambria"/>
              </w:rPr>
              <w:t>rs to attend and promote GOMC and its accomplishments (use the presentation package that has been developed by the Out</w:t>
            </w:r>
            <w:r w:rsidR="002767C7" w:rsidRPr="002E189A">
              <w:rPr>
                <w:rFonts w:ascii="Cambria" w:hAnsi="Cambria"/>
              </w:rPr>
              <w:t>reach Committee)</w:t>
            </w: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783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AD55AC" w:rsidRPr="002E189A" w:rsidTr="00F8240C">
        <w:tc>
          <w:tcPr>
            <w:tcW w:w="3442" w:type="dxa"/>
          </w:tcPr>
          <w:p w:rsidR="00AD55AC" w:rsidRPr="002E189A" w:rsidRDefault="00AD55AC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AD55AC" w:rsidRPr="002E189A" w:rsidRDefault="00AD55AC" w:rsidP="00EA4F6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Establish a Speakers Bureau (may not be the same as for media</w:t>
            </w:r>
            <w:r w:rsidR="001D378D" w:rsidRPr="002E189A">
              <w:rPr>
                <w:rFonts w:ascii="Cambria" w:hAnsi="Cambria"/>
              </w:rPr>
              <w:t xml:space="preserve"> strategy purposes</w:t>
            </w:r>
            <w:r w:rsidRPr="002E189A">
              <w:rPr>
                <w:rFonts w:ascii="Cambria" w:hAnsi="Cambria"/>
              </w:rPr>
              <w:t>) to do outreach</w:t>
            </w:r>
            <w:r w:rsidR="001D378D" w:rsidRPr="002E189A">
              <w:rPr>
                <w:rFonts w:ascii="Cambria" w:hAnsi="Cambria"/>
              </w:rPr>
              <w:t xml:space="preserve"> on either the GOMC or the Gulf of Maine, as an entity</w:t>
            </w:r>
          </w:p>
        </w:tc>
        <w:tc>
          <w:tcPr>
            <w:tcW w:w="910" w:type="dxa"/>
          </w:tcPr>
          <w:p w:rsidR="00AD55AC" w:rsidRPr="002E189A" w:rsidRDefault="00AD55AC">
            <w:pPr>
              <w:rPr>
                <w:rFonts w:ascii="Cambria" w:hAnsi="Cambria"/>
              </w:rPr>
            </w:pPr>
          </w:p>
        </w:tc>
        <w:tc>
          <w:tcPr>
            <w:tcW w:w="1783" w:type="dxa"/>
          </w:tcPr>
          <w:p w:rsidR="00AD55AC" w:rsidRPr="002E189A" w:rsidRDefault="00AD55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D55AC" w:rsidRPr="002E189A" w:rsidRDefault="00AD55AC">
            <w:pPr>
              <w:rPr>
                <w:rFonts w:ascii="Cambria" w:hAnsi="Cambria"/>
              </w:rPr>
            </w:pPr>
          </w:p>
        </w:tc>
      </w:tr>
      <w:tr w:rsidR="00E825AE" w:rsidRPr="002E189A" w:rsidTr="00F8240C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2767C7" w:rsidP="00EA4F6A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Work with Outreach Committee members to expand lists of potential interested parties</w:t>
            </w:r>
            <w:r w:rsidR="001D378D" w:rsidRPr="002E189A">
              <w:rPr>
                <w:rFonts w:ascii="Cambria" w:hAnsi="Cambria"/>
              </w:rPr>
              <w:t>, priority upcoming events (2-3 years out), opportunities for media interaction, priority Tweets, etc.</w:t>
            </w: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783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A055A2" w:rsidRPr="002E189A" w:rsidTr="00F8240C">
        <w:tc>
          <w:tcPr>
            <w:tcW w:w="3442" w:type="dxa"/>
          </w:tcPr>
          <w:p w:rsidR="00A055A2" w:rsidRPr="002E189A" w:rsidRDefault="00A055A2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Website redesign</w:t>
            </w:r>
          </w:p>
        </w:tc>
        <w:tc>
          <w:tcPr>
            <w:tcW w:w="7298" w:type="dxa"/>
          </w:tcPr>
          <w:p w:rsidR="001D378D" w:rsidRPr="002E189A" w:rsidRDefault="001D378D" w:rsidP="001D378D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Create a subcommittee, chaired by a Communications professional, to develop a framework around key elements of the site:  what gets included, mechanisms for getting timely and strategic info to the webmaster, what the layout needs to include to support the overall branding campaign.  </w:t>
            </w:r>
          </w:p>
          <w:p w:rsidR="001D378D" w:rsidRPr="002E189A" w:rsidRDefault="001D378D" w:rsidP="001D378D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Follow up with continued analysis, as to the effectiveness of the site, by developing an annual plan for content and issue a call-out to members for input.</w:t>
            </w:r>
          </w:p>
          <w:p w:rsidR="00DF185E" w:rsidRPr="002E189A" w:rsidRDefault="0009021F" w:rsidP="001D378D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Have subcommittee members </w:t>
            </w:r>
            <w:r w:rsidR="001D378D" w:rsidRPr="002E189A">
              <w:rPr>
                <w:rFonts w:ascii="Cambria" w:hAnsi="Cambria"/>
              </w:rPr>
              <w:t>p</w:t>
            </w:r>
            <w:r w:rsidR="00250FD8" w:rsidRPr="002E189A">
              <w:rPr>
                <w:rFonts w:ascii="Cambria" w:hAnsi="Cambria"/>
              </w:rPr>
              <w:t>articipate in</w:t>
            </w:r>
            <w:r w:rsidR="001D378D" w:rsidRPr="002E189A">
              <w:rPr>
                <w:rFonts w:ascii="Cambria" w:hAnsi="Cambria"/>
              </w:rPr>
              <w:t xml:space="preserve"> regular (quarterly?)</w:t>
            </w:r>
            <w:r w:rsidRPr="002E189A">
              <w:rPr>
                <w:rFonts w:ascii="Cambria" w:hAnsi="Cambria"/>
              </w:rPr>
              <w:t xml:space="preserve"> discussions about </w:t>
            </w:r>
            <w:r w:rsidR="00250FD8" w:rsidRPr="002E189A">
              <w:rPr>
                <w:rFonts w:ascii="Cambria" w:hAnsi="Cambria"/>
              </w:rPr>
              <w:t xml:space="preserve">strategic content, </w:t>
            </w:r>
            <w:r w:rsidRPr="002E189A">
              <w:rPr>
                <w:rFonts w:ascii="Cambria" w:hAnsi="Cambria"/>
              </w:rPr>
              <w:t xml:space="preserve">effectiveness of timely </w:t>
            </w:r>
            <w:r w:rsidR="00250FD8" w:rsidRPr="002E189A">
              <w:rPr>
                <w:rFonts w:ascii="Cambria" w:hAnsi="Cambria"/>
              </w:rPr>
              <w:t>information feed mechanism</w:t>
            </w:r>
            <w:r w:rsidRPr="002E189A">
              <w:rPr>
                <w:rFonts w:ascii="Cambria" w:hAnsi="Cambria"/>
              </w:rPr>
              <w:t>, other issues</w:t>
            </w:r>
            <w:r w:rsidR="00250FD8" w:rsidRPr="002E189A">
              <w:rPr>
                <w:rFonts w:ascii="Cambria" w:hAnsi="Cambria"/>
              </w:rPr>
              <w:t xml:space="preserve"> (who updates info,</w:t>
            </w:r>
            <w:r w:rsidR="00EC7730" w:rsidRPr="002E189A">
              <w:rPr>
                <w:rFonts w:ascii="Cambria" w:hAnsi="Cambria"/>
              </w:rPr>
              <w:t xml:space="preserve"> </w:t>
            </w:r>
            <w:r w:rsidR="00250FD8" w:rsidRPr="002E189A">
              <w:rPr>
                <w:rFonts w:ascii="Cambria" w:hAnsi="Cambria"/>
              </w:rPr>
              <w:t>etc.)</w:t>
            </w:r>
          </w:p>
        </w:tc>
        <w:tc>
          <w:tcPr>
            <w:tcW w:w="910" w:type="dxa"/>
          </w:tcPr>
          <w:p w:rsidR="00A055A2" w:rsidRPr="002E189A" w:rsidRDefault="00A055A2">
            <w:pPr>
              <w:rPr>
                <w:rFonts w:ascii="Cambria" w:hAnsi="Cambria"/>
              </w:rPr>
            </w:pPr>
          </w:p>
        </w:tc>
        <w:tc>
          <w:tcPr>
            <w:tcW w:w="1783" w:type="dxa"/>
          </w:tcPr>
          <w:p w:rsidR="00A055A2" w:rsidRPr="002E189A" w:rsidRDefault="00A055A2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055A2" w:rsidRPr="002E189A" w:rsidRDefault="00A055A2">
            <w:pPr>
              <w:rPr>
                <w:rFonts w:ascii="Cambria" w:hAnsi="Cambria"/>
              </w:rPr>
            </w:pPr>
          </w:p>
        </w:tc>
      </w:tr>
    </w:tbl>
    <w:p w:rsidR="00EE126D" w:rsidRPr="002E189A" w:rsidRDefault="00EE126D">
      <w:pPr>
        <w:rPr>
          <w:rFonts w:ascii="Cambria" w:hAnsi="Cambria"/>
        </w:rPr>
        <w:sectPr w:rsidR="00EE126D" w:rsidRPr="002E189A" w:rsidSect="0071269A">
          <w:headerReference w:type="default" r:id="rId7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3442"/>
        <w:gridCol w:w="7298"/>
        <w:gridCol w:w="910"/>
        <w:gridCol w:w="1699"/>
        <w:gridCol w:w="1218"/>
      </w:tblGrid>
      <w:tr w:rsidR="00E825AE" w:rsidRPr="002E189A" w:rsidTr="00F023E1">
        <w:tc>
          <w:tcPr>
            <w:tcW w:w="3442" w:type="dxa"/>
          </w:tcPr>
          <w:p w:rsidR="00E825AE" w:rsidRPr="002E189A" w:rsidRDefault="00AF13CF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lastRenderedPageBreak/>
              <w:t>Social media plan</w:t>
            </w:r>
          </w:p>
        </w:tc>
        <w:tc>
          <w:tcPr>
            <w:tcW w:w="7298" w:type="dxa"/>
          </w:tcPr>
          <w:p w:rsidR="00F90AC7" w:rsidRPr="002E189A" w:rsidRDefault="00F90AC7" w:rsidP="002767C7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Prepare draft overarching Social Media Plan</w:t>
            </w:r>
          </w:p>
          <w:p w:rsidR="00AF13CF" w:rsidRPr="002E189A" w:rsidRDefault="00AF13CF" w:rsidP="002767C7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Research potential target audiences</w:t>
            </w:r>
          </w:p>
          <w:p w:rsidR="00AF13CF" w:rsidRPr="002E189A" w:rsidRDefault="00AF13CF" w:rsidP="00AF13CF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O</w:t>
            </w:r>
            <w:r w:rsidR="002767C7" w:rsidRPr="002E189A">
              <w:rPr>
                <w:rFonts w:ascii="Cambria" w:hAnsi="Cambria"/>
              </w:rPr>
              <w:t>utline opportunities to use Twitter, Hoot Suite and Facebook to reach  general public as well as targeted audiences (through streamlining of messages and tracking uptake)</w:t>
            </w:r>
          </w:p>
          <w:p w:rsidR="00AF13CF" w:rsidRPr="002E189A" w:rsidRDefault="00AF13CF" w:rsidP="00AF13CF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Establish a ‘gatekeeper’ for  outgoing and incoming Tweets</w:t>
            </w:r>
          </w:p>
          <w:p w:rsidR="00E825AE" w:rsidRPr="002E189A" w:rsidRDefault="00AF13CF" w:rsidP="00AF13CF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P</w:t>
            </w:r>
            <w:r w:rsidR="002767C7" w:rsidRPr="002E189A">
              <w:rPr>
                <w:rFonts w:ascii="Cambria" w:hAnsi="Cambria"/>
              </w:rPr>
              <w:t>repare clusters of potential Tweets to push out to specific audiences</w:t>
            </w:r>
          </w:p>
          <w:p w:rsidR="00AF13CF" w:rsidRPr="002E189A" w:rsidRDefault="00AF13CF" w:rsidP="00AF13CF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Revise strategy as </w:t>
            </w:r>
            <w:r w:rsidR="00C7719E" w:rsidRPr="002E189A">
              <w:rPr>
                <w:rFonts w:ascii="Cambria" w:hAnsi="Cambria"/>
              </w:rPr>
              <w:t>required</w:t>
            </w: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DF185E" w:rsidRPr="002E189A" w:rsidTr="005401AE">
        <w:tc>
          <w:tcPr>
            <w:tcW w:w="14567" w:type="dxa"/>
            <w:gridSpan w:val="5"/>
          </w:tcPr>
          <w:p w:rsidR="00EE126D" w:rsidRPr="002E189A" w:rsidRDefault="002177B6" w:rsidP="00A67DE5">
            <w:pPr>
              <w:jc w:val="center"/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br w:type="page"/>
            </w:r>
          </w:p>
          <w:p w:rsidR="00DF185E" w:rsidRPr="002E189A" w:rsidRDefault="00DF185E" w:rsidP="00A67DE5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2E189A">
              <w:rPr>
                <w:rFonts w:ascii="Cambria" w:hAnsi="Cambria"/>
                <w:b/>
                <w:u w:val="single"/>
              </w:rPr>
              <w:t>Strategy for 25</w:t>
            </w:r>
            <w:r w:rsidRPr="002E189A">
              <w:rPr>
                <w:rFonts w:ascii="Cambria" w:hAnsi="Cambria"/>
                <w:b/>
                <w:u w:val="single"/>
                <w:vertAlign w:val="superscript"/>
              </w:rPr>
              <w:t>th</w:t>
            </w:r>
            <w:r w:rsidRPr="002E189A">
              <w:rPr>
                <w:rFonts w:ascii="Cambria" w:hAnsi="Cambria"/>
                <w:b/>
                <w:u w:val="single"/>
              </w:rPr>
              <w:t xml:space="preserve"> Anniversary year-round promotion of the Gulf of Maine Council</w:t>
            </w:r>
          </w:p>
          <w:p w:rsidR="00EE126D" w:rsidRPr="002E189A" w:rsidRDefault="00EE126D" w:rsidP="00A67DE5">
            <w:pPr>
              <w:jc w:val="center"/>
              <w:rPr>
                <w:rFonts w:ascii="Cambria" w:hAnsi="Cambria"/>
              </w:rPr>
            </w:pPr>
          </w:p>
        </w:tc>
      </w:tr>
      <w:tr w:rsidR="00724360" w:rsidRPr="002E189A" w:rsidTr="00F023E1">
        <w:tc>
          <w:tcPr>
            <w:tcW w:w="3442" w:type="dxa"/>
          </w:tcPr>
          <w:p w:rsidR="00724360" w:rsidRPr="002E189A" w:rsidRDefault="00724360" w:rsidP="00724360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Media plan</w:t>
            </w:r>
          </w:p>
          <w:p w:rsidR="00724360" w:rsidRPr="002E189A" w:rsidRDefault="00724360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7298" w:type="dxa"/>
          </w:tcPr>
          <w:p w:rsidR="00724360" w:rsidRPr="002E189A" w:rsidRDefault="00724360" w:rsidP="00724360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Establish a list of targeted outlets to raise awareness of the Gulf of Maine.</w:t>
            </w:r>
          </w:p>
          <w:p w:rsidR="00724360" w:rsidRPr="002E189A" w:rsidRDefault="00724360" w:rsidP="00724360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Establish a Speakers’ Bureau of Council and Working Group members, who have media training to be the spokespeople</w:t>
            </w:r>
          </w:p>
          <w:p w:rsidR="00724360" w:rsidRPr="002E189A" w:rsidRDefault="00724360" w:rsidP="00724360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Link media outreach with upcoming events in the various states/provinces</w:t>
            </w:r>
          </w:p>
          <w:p w:rsidR="00724360" w:rsidRPr="002E189A" w:rsidRDefault="00724360" w:rsidP="00724360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Promote social media links and website</w:t>
            </w:r>
          </w:p>
        </w:tc>
        <w:tc>
          <w:tcPr>
            <w:tcW w:w="910" w:type="dxa"/>
          </w:tcPr>
          <w:p w:rsidR="00724360" w:rsidRPr="002E189A" w:rsidRDefault="00724360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724360" w:rsidRPr="002E189A" w:rsidRDefault="00724360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724360" w:rsidRPr="002E189A" w:rsidRDefault="00724360">
            <w:pPr>
              <w:rPr>
                <w:rFonts w:ascii="Cambria" w:hAnsi="Cambria"/>
              </w:rPr>
            </w:pPr>
          </w:p>
        </w:tc>
      </w:tr>
      <w:tr w:rsidR="00DF185E" w:rsidRPr="002E189A" w:rsidTr="00A1433B">
        <w:trPr>
          <w:trHeight w:val="311"/>
        </w:trPr>
        <w:tc>
          <w:tcPr>
            <w:tcW w:w="14567" w:type="dxa"/>
            <w:gridSpan w:val="5"/>
          </w:tcPr>
          <w:p w:rsidR="00EE126D" w:rsidRPr="002E189A" w:rsidRDefault="00EE126D" w:rsidP="00A1433B">
            <w:pPr>
              <w:jc w:val="center"/>
              <w:rPr>
                <w:rFonts w:ascii="Cambria" w:hAnsi="Cambria"/>
                <w:b/>
                <w:u w:val="single"/>
              </w:rPr>
            </w:pPr>
          </w:p>
          <w:p w:rsidR="00DF185E" w:rsidRPr="002E189A" w:rsidRDefault="00DF185E" w:rsidP="00A1433B">
            <w:pPr>
              <w:jc w:val="center"/>
              <w:rPr>
                <w:rFonts w:ascii="Cambria" w:hAnsi="Cambria"/>
              </w:rPr>
            </w:pPr>
            <w:r w:rsidRPr="002E189A">
              <w:rPr>
                <w:rFonts w:ascii="Cambria" w:hAnsi="Cambria"/>
                <w:b/>
                <w:u w:val="single"/>
              </w:rPr>
              <w:t>Participation at Coastal Zones Canada 2014</w:t>
            </w:r>
            <w:r w:rsidRPr="002E189A">
              <w:rPr>
                <w:rFonts w:ascii="Cambria" w:hAnsi="Cambria"/>
              </w:rPr>
              <w:t xml:space="preserve"> </w:t>
            </w:r>
          </w:p>
          <w:p w:rsidR="00EE126D" w:rsidRPr="002E189A" w:rsidRDefault="00EE126D" w:rsidP="00A1433B">
            <w:pPr>
              <w:jc w:val="center"/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DF185E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Media plan to generate interest in GOMC’s participation at the conference</w:t>
            </w:r>
          </w:p>
        </w:tc>
        <w:tc>
          <w:tcPr>
            <w:tcW w:w="7298" w:type="dxa"/>
          </w:tcPr>
          <w:p w:rsidR="00DF185E" w:rsidRPr="002E189A" w:rsidRDefault="00D066BE" w:rsidP="00DF185E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 </w:t>
            </w:r>
            <w:r w:rsidR="00DF185E" w:rsidRPr="002E189A">
              <w:rPr>
                <w:rFonts w:ascii="Cambria" w:hAnsi="Cambria"/>
              </w:rPr>
              <w:t>Calls to media outlets  to line up interviews with GOMC members to speak, day before the conference starts, about the 25</w:t>
            </w:r>
            <w:r w:rsidR="00DF185E" w:rsidRPr="002E189A">
              <w:rPr>
                <w:rFonts w:ascii="Cambria" w:hAnsi="Cambria"/>
                <w:vertAlign w:val="superscript"/>
              </w:rPr>
              <w:t>th</w:t>
            </w:r>
            <w:r w:rsidR="00DF185E" w:rsidRPr="002E189A">
              <w:rPr>
                <w:rFonts w:ascii="Cambria" w:hAnsi="Cambria"/>
              </w:rPr>
              <w:t xml:space="preserve"> anniversary and Council’s presence at the conference, and Nova </w:t>
            </w:r>
            <w:proofErr w:type="spellStart"/>
            <w:r w:rsidR="00DF185E" w:rsidRPr="002E189A">
              <w:rPr>
                <w:rFonts w:ascii="Cambria" w:hAnsi="Cambria"/>
              </w:rPr>
              <w:t>Scotians</w:t>
            </w:r>
            <w:proofErr w:type="spellEnd"/>
            <w:r w:rsidR="00DF185E" w:rsidRPr="002E189A">
              <w:rPr>
                <w:rFonts w:ascii="Cambria" w:hAnsi="Cambria"/>
              </w:rPr>
              <w:t>/</w:t>
            </w:r>
            <w:proofErr w:type="spellStart"/>
            <w:r w:rsidR="00DF185E" w:rsidRPr="002E189A">
              <w:rPr>
                <w:rFonts w:ascii="Cambria" w:hAnsi="Cambria"/>
              </w:rPr>
              <w:t>Haligonians</w:t>
            </w:r>
            <w:proofErr w:type="spellEnd"/>
            <w:r w:rsidR="00DF185E" w:rsidRPr="002E189A">
              <w:rPr>
                <w:rFonts w:ascii="Cambria" w:hAnsi="Cambria"/>
              </w:rPr>
              <w:t xml:space="preserve"> and others involved in GOMC</w:t>
            </w:r>
          </w:p>
          <w:p w:rsidR="00EE126D" w:rsidRPr="002E189A" w:rsidRDefault="00EE126D" w:rsidP="00DF185E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 xml:space="preserve">Media Advisory and/or </w:t>
            </w:r>
            <w:r w:rsidR="00DF185E" w:rsidRPr="002E189A">
              <w:rPr>
                <w:rFonts w:ascii="Cambria" w:hAnsi="Cambria"/>
              </w:rPr>
              <w:t>News release (touting 25</w:t>
            </w:r>
            <w:r w:rsidR="00DF185E" w:rsidRPr="002E189A">
              <w:rPr>
                <w:rFonts w:ascii="Cambria" w:hAnsi="Cambria"/>
                <w:vertAlign w:val="superscript"/>
              </w:rPr>
              <w:t>th</w:t>
            </w:r>
            <w:r w:rsidR="00DF185E" w:rsidRPr="002E189A">
              <w:rPr>
                <w:rFonts w:ascii="Cambria" w:hAnsi="Cambria"/>
              </w:rPr>
              <w:t xml:space="preserve"> anniversary, promoting speaker at session)            </w:t>
            </w:r>
          </w:p>
          <w:p w:rsidR="00265A40" w:rsidRPr="002E189A" w:rsidRDefault="00DF185E" w:rsidP="00DF185E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News release, post Awards, highlighting recipients and reiterating 25</w:t>
            </w:r>
            <w:r w:rsidRPr="002E189A">
              <w:rPr>
                <w:rFonts w:ascii="Cambria" w:hAnsi="Cambria"/>
                <w:vertAlign w:val="superscript"/>
              </w:rPr>
              <w:t>th</w:t>
            </w:r>
            <w:r w:rsidRPr="002E189A">
              <w:rPr>
                <w:rFonts w:ascii="Cambria" w:hAnsi="Cambria"/>
              </w:rPr>
              <w:t xml:space="preserve"> anniversary messaging         </w:t>
            </w:r>
          </w:p>
          <w:p w:rsidR="00E825AE" w:rsidRPr="002E189A" w:rsidRDefault="00265A40" w:rsidP="00DF185E">
            <w:pPr>
              <w:rPr>
                <w:rFonts w:ascii="Cambria" w:hAnsi="Cambria"/>
              </w:rPr>
            </w:pPr>
            <w:r w:rsidRPr="002E189A">
              <w:rPr>
                <w:rFonts w:ascii="Cambria" w:hAnsi="Cambria"/>
              </w:rPr>
              <w:t>News release post-conference from GOMC summarizing/reinforcing position(s)</w:t>
            </w:r>
            <w:r w:rsidR="00DF185E" w:rsidRPr="002E189A">
              <w:rPr>
                <w:rFonts w:ascii="Cambria" w:hAnsi="Cambria"/>
              </w:rPr>
              <w:t xml:space="preserve">    </w:t>
            </w: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E825AE" w:rsidRPr="002E189A" w:rsidTr="00F023E1">
        <w:tc>
          <w:tcPr>
            <w:tcW w:w="3442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E825AE" w:rsidRPr="002E189A" w:rsidRDefault="00E825AE" w:rsidP="00EA4F6A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E825AE" w:rsidRPr="002E189A" w:rsidRDefault="00E825AE">
            <w:pPr>
              <w:rPr>
                <w:rFonts w:ascii="Cambria" w:hAnsi="Cambria"/>
              </w:rPr>
            </w:pPr>
          </w:p>
        </w:tc>
      </w:tr>
      <w:tr w:rsidR="00F023E1" w:rsidRPr="002E189A" w:rsidTr="00F023E1">
        <w:tc>
          <w:tcPr>
            <w:tcW w:w="3442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</w:tr>
      <w:tr w:rsidR="00F023E1" w:rsidRPr="002E189A" w:rsidTr="00F023E1">
        <w:tc>
          <w:tcPr>
            <w:tcW w:w="3442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</w:tr>
      <w:tr w:rsidR="00F023E1" w:rsidRPr="002E189A" w:rsidTr="00F023E1">
        <w:tc>
          <w:tcPr>
            <w:tcW w:w="3442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</w:tr>
      <w:tr w:rsidR="00F023E1" w:rsidRPr="002E189A" w:rsidTr="00F023E1">
        <w:tc>
          <w:tcPr>
            <w:tcW w:w="3442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</w:tr>
      <w:tr w:rsidR="00F023E1" w:rsidRPr="002E189A" w:rsidTr="00F023E1">
        <w:tc>
          <w:tcPr>
            <w:tcW w:w="3442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</w:tr>
      <w:tr w:rsidR="00F023E1" w:rsidRPr="002E189A" w:rsidTr="00F023E1">
        <w:tc>
          <w:tcPr>
            <w:tcW w:w="3442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729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910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  <w:tc>
          <w:tcPr>
            <w:tcW w:w="1218" w:type="dxa"/>
          </w:tcPr>
          <w:p w:rsidR="00F023E1" w:rsidRPr="002E189A" w:rsidRDefault="00F023E1">
            <w:pPr>
              <w:rPr>
                <w:rFonts w:ascii="Cambria" w:hAnsi="Cambria"/>
              </w:rPr>
            </w:pPr>
          </w:p>
        </w:tc>
      </w:tr>
      <w:tr w:rsidR="00F023E1" w:rsidTr="00F023E1">
        <w:tc>
          <w:tcPr>
            <w:tcW w:w="3442" w:type="dxa"/>
          </w:tcPr>
          <w:p w:rsidR="00F023E1" w:rsidRDefault="00F023E1"/>
        </w:tc>
        <w:tc>
          <w:tcPr>
            <w:tcW w:w="7298" w:type="dxa"/>
          </w:tcPr>
          <w:p w:rsidR="00F023E1" w:rsidRDefault="00F023E1"/>
        </w:tc>
        <w:tc>
          <w:tcPr>
            <w:tcW w:w="910" w:type="dxa"/>
          </w:tcPr>
          <w:p w:rsidR="00F023E1" w:rsidRDefault="00F023E1"/>
        </w:tc>
        <w:tc>
          <w:tcPr>
            <w:tcW w:w="1699" w:type="dxa"/>
          </w:tcPr>
          <w:p w:rsidR="00F023E1" w:rsidRDefault="00F023E1"/>
        </w:tc>
        <w:tc>
          <w:tcPr>
            <w:tcW w:w="1218" w:type="dxa"/>
          </w:tcPr>
          <w:p w:rsidR="00F023E1" w:rsidRDefault="00F023E1"/>
        </w:tc>
      </w:tr>
    </w:tbl>
    <w:p w:rsidR="00B079AA" w:rsidRDefault="00B079AA"/>
    <w:sectPr w:rsidR="00B079AA" w:rsidSect="0071269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57" w:rsidRDefault="00883757" w:rsidP="00883757">
      <w:pPr>
        <w:spacing w:after="0" w:line="240" w:lineRule="auto"/>
      </w:pPr>
      <w:r>
        <w:separator/>
      </w:r>
    </w:p>
  </w:endnote>
  <w:endnote w:type="continuationSeparator" w:id="0">
    <w:p w:rsidR="00883757" w:rsidRDefault="00883757" w:rsidP="0088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57" w:rsidRDefault="00883757" w:rsidP="00883757">
      <w:pPr>
        <w:spacing w:after="0" w:line="240" w:lineRule="auto"/>
      </w:pPr>
      <w:r>
        <w:separator/>
      </w:r>
    </w:p>
  </w:footnote>
  <w:footnote w:type="continuationSeparator" w:id="0">
    <w:p w:rsidR="00883757" w:rsidRDefault="00883757" w:rsidP="0088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57" w:rsidRPr="002E189A" w:rsidRDefault="00883757" w:rsidP="00883757">
    <w:pPr>
      <w:pStyle w:val="Header"/>
      <w:rPr>
        <w:rFonts w:ascii="Cambria" w:hAnsi="Cambria"/>
        <w:b/>
      </w:rPr>
    </w:pPr>
    <w:r w:rsidRPr="002E189A">
      <w:rPr>
        <w:rFonts w:ascii="Cambria" w:hAnsi="Cambria"/>
        <w:b/>
      </w:rPr>
      <w:t>DRAFT</w:t>
    </w:r>
  </w:p>
  <w:p w:rsidR="00883757" w:rsidRPr="002E189A" w:rsidRDefault="00883757" w:rsidP="00883757">
    <w:pPr>
      <w:pStyle w:val="Header"/>
      <w:jc w:val="center"/>
      <w:rPr>
        <w:rFonts w:ascii="Cambria" w:hAnsi="Cambria"/>
        <w:b/>
      </w:rPr>
    </w:pPr>
    <w:r w:rsidRPr="002E189A">
      <w:rPr>
        <w:rFonts w:ascii="Cambria" w:hAnsi="Cambria"/>
        <w:b/>
      </w:rPr>
      <w:t xml:space="preserve">Communications </w:t>
    </w:r>
    <w:proofErr w:type="spellStart"/>
    <w:r w:rsidRPr="002E189A">
      <w:rPr>
        <w:rFonts w:ascii="Cambria" w:hAnsi="Cambria"/>
        <w:b/>
      </w:rPr>
      <w:t>Taskings</w:t>
    </w:r>
    <w:proofErr w:type="spellEnd"/>
  </w:p>
  <w:p w:rsidR="00883757" w:rsidRDefault="00883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57"/>
    <w:rsid w:val="00072D91"/>
    <w:rsid w:val="0009021F"/>
    <w:rsid w:val="00094F07"/>
    <w:rsid w:val="000B23CD"/>
    <w:rsid w:val="001D378D"/>
    <w:rsid w:val="002177B6"/>
    <w:rsid w:val="00250FD8"/>
    <w:rsid w:val="00265A40"/>
    <w:rsid w:val="002767C7"/>
    <w:rsid w:val="002E189A"/>
    <w:rsid w:val="00374868"/>
    <w:rsid w:val="00652918"/>
    <w:rsid w:val="0067756A"/>
    <w:rsid w:val="0071269A"/>
    <w:rsid w:val="00724360"/>
    <w:rsid w:val="00834EEF"/>
    <w:rsid w:val="00883757"/>
    <w:rsid w:val="008F3CDA"/>
    <w:rsid w:val="009766E9"/>
    <w:rsid w:val="009E4C0E"/>
    <w:rsid w:val="00A055A2"/>
    <w:rsid w:val="00A1433B"/>
    <w:rsid w:val="00A40D88"/>
    <w:rsid w:val="00A67DE5"/>
    <w:rsid w:val="00A84614"/>
    <w:rsid w:val="00AB391C"/>
    <w:rsid w:val="00AD55AC"/>
    <w:rsid w:val="00AF13CF"/>
    <w:rsid w:val="00B079AA"/>
    <w:rsid w:val="00B5595E"/>
    <w:rsid w:val="00C7719E"/>
    <w:rsid w:val="00D066BE"/>
    <w:rsid w:val="00D45888"/>
    <w:rsid w:val="00DB26B7"/>
    <w:rsid w:val="00DE63B3"/>
    <w:rsid w:val="00DF185E"/>
    <w:rsid w:val="00E825AE"/>
    <w:rsid w:val="00EA1EFF"/>
    <w:rsid w:val="00EA4F6A"/>
    <w:rsid w:val="00EC7730"/>
    <w:rsid w:val="00EE126D"/>
    <w:rsid w:val="00F023E1"/>
    <w:rsid w:val="00F8240C"/>
    <w:rsid w:val="00F9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57"/>
  </w:style>
  <w:style w:type="paragraph" w:styleId="Footer">
    <w:name w:val="footer"/>
    <w:basedOn w:val="Normal"/>
    <w:link w:val="FooterChar"/>
    <w:uiPriority w:val="99"/>
    <w:unhideWhenUsed/>
    <w:rsid w:val="0088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757"/>
  </w:style>
  <w:style w:type="paragraph" w:styleId="BalloonText">
    <w:name w:val="Balloon Text"/>
    <w:basedOn w:val="Normal"/>
    <w:link w:val="BalloonTextChar"/>
    <w:uiPriority w:val="99"/>
    <w:semiHidden/>
    <w:unhideWhenUsed/>
    <w:rsid w:val="0088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57"/>
  </w:style>
  <w:style w:type="paragraph" w:styleId="Footer">
    <w:name w:val="footer"/>
    <w:basedOn w:val="Normal"/>
    <w:link w:val="FooterChar"/>
    <w:uiPriority w:val="99"/>
    <w:unhideWhenUsed/>
    <w:rsid w:val="0088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757"/>
  </w:style>
  <w:style w:type="paragraph" w:styleId="BalloonText">
    <w:name w:val="Balloon Text"/>
    <w:basedOn w:val="Normal"/>
    <w:link w:val="BalloonTextChar"/>
    <w:uiPriority w:val="99"/>
    <w:semiHidden/>
    <w:unhideWhenUsed/>
    <w:rsid w:val="0088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Canada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Gailey,Lorraine [Dartmouth]</dc:creator>
  <cp:lastModifiedBy>Gailey,Lorraine [Dartmouth]</cp:lastModifiedBy>
  <cp:revision>11</cp:revision>
  <cp:lastPrinted>2014-03-03T17:07:00Z</cp:lastPrinted>
  <dcterms:created xsi:type="dcterms:W3CDTF">2014-03-04T14:23:00Z</dcterms:created>
  <dcterms:modified xsi:type="dcterms:W3CDTF">2014-03-04T14:54:00Z</dcterms:modified>
</cp:coreProperties>
</file>