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75D" w:rsidRDefault="008B0DA6">
      <w:pPr>
        <w:rPr>
          <w:b/>
        </w:rPr>
      </w:pPr>
      <w:r>
        <w:rPr>
          <w:b/>
        </w:rPr>
        <w:t>Aquaculture Fact Sheet</w:t>
      </w:r>
    </w:p>
    <w:p w:rsidR="008B0DA6" w:rsidRPr="00906FD5" w:rsidRDefault="008B0DA6">
      <w:pPr>
        <w:rPr>
          <w:b/>
          <w:color w:val="FF0000"/>
        </w:rPr>
      </w:pPr>
      <w:r w:rsidRPr="00906FD5">
        <w:rPr>
          <w:b/>
          <w:color w:val="FF0000"/>
        </w:rPr>
        <w:t>Page 1</w:t>
      </w:r>
    </w:p>
    <w:p w:rsidR="0056375D" w:rsidRDefault="0056375D">
      <w:pPr>
        <w:rPr>
          <w:b/>
        </w:rPr>
      </w:pPr>
      <w:r>
        <w:rPr>
          <w:b/>
        </w:rPr>
        <w:t xml:space="preserve">Importance of Aquaculture in the Gulf of Maine </w:t>
      </w:r>
    </w:p>
    <w:p w:rsidR="00F81493" w:rsidRDefault="00F81493">
      <w:r>
        <w:t xml:space="preserve">Aquaculture has been practiced in the Gulf of Maine for </w:t>
      </w:r>
      <w:r w:rsidR="00BA73C1">
        <w:t>many decades</w:t>
      </w:r>
      <w:r w:rsidR="00B6331E">
        <w:t xml:space="preserve"> </w:t>
      </w:r>
      <w:r>
        <w:t xml:space="preserve"> with </w:t>
      </w:r>
      <w:r w:rsidR="00B6331E">
        <w:t>oyster sites cultivated in Nova Scotia for nearly a century</w:t>
      </w:r>
      <w:r>
        <w:t>.</w:t>
      </w:r>
      <w:r w:rsidR="00B6331E">
        <w:t xml:space="preserve">  </w:t>
      </w:r>
      <w:r>
        <w:t xml:space="preserve"> </w:t>
      </w:r>
      <w:r w:rsidR="00B6331E">
        <w:t>The a</w:t>
      </w:r>
      <w:r>
        <w:t>quaculture industry</w:t>
      </w:r>
      <w:r w:rsidR="00B6331E">
        <w:t xml:space="preserve"> as currently known</w:t>
      </w:r>
      <w:r>
        <w:t xml:space="preserve"> began in the 1970s. Despite its importance in local economies and perceived impacts to the environment, it is difficult to fully understand the numerous agencies that monitor sites and the true density of aquaculture in the region. The most dominant species in the region are listed in the table below.</w:t>
      </w:r>
    </w:p>
    <w:tbl>
      <w:tblPr>
        <w:tblStyle w:val="TableGrid"/>
        <w:tblW w:w="0" w:type="auto"/>
        <w:tblLook w:val="04A0"/>
      </w:tblPr>
      <w:tblGrid>
        <w:gridCol w:w="4392"/>
        <w:gridCol w:w="4392"/>
        <w:gridCol w:w="4392"/>
      </w:tblGrid>
      <w:tr w:rsidR="00F81493" w:rsidTr="00F81493">
        <w:tc>
          <w:tcPr>
            <w:tcW w:w="4392" w:type="dxa"/>
          </w:tcPr>
          <w:p w:rsidR="00F81493" w:rsidRPr="00F81493" w:rsidRDefault="00F81493" w:rsidP="00F81493">
            <w:pPr>
              <w:jc w:val="center"/>
              <w:rPr>
                <w:b/>
              </w:rPr>
            </w:pPr>
            <w:r w:rsidRPr="00F81493">
              <w:rPr>
                <w:b/>
              </w:rPr>
              <w:t>Common Name</w:t>
            </w:r>
          </w:p>
        </w:tc>
        <w:tc>
          <w:tcPr>
            <w:tcW w:w="4392" w:type="dxa"/>
          </w:tcPr>
          <w:p w:rsidR="00F81493" w:rsidRPr="00F81493" w:rsidRDefault="00F81493" w:rsidP="00F81493">
            <w:pPr>
              <w:jc w:val="center"/>
              <w:rPr>
                <w:b/>
              </w:rPr>
            </w:pPr>
            <w:r w:rsidRPr="00F81493">
              <w:rPr>
                <w:b/>
              </w:rPr>
              <w:t>Scientific Name</w:t>
            </w:r>
          </w:p>
        </w:tc>
        <w:tc>
          <w:tcPr>
            <w:tcW w:w="4392" w:type="dxa"/>
          </w:tcPr>
          <w:p w:rsidR="00F81493" w:rsidRPr="00F81493" w:rsidRDefault="00F81493" w:rsidP="00F81493">
            <w:pPr>
              <w:jc w:val="center"/>
              <w:rPr>
                <w:b/>
              </w:rPr>
            </w:pPr>
            <w:r w:rsidRPr="00F81493">
              <w:rPr>
                <w:b/>
              </w:rPr>
              <w:t>State or Province</w:t>
            </w:r>
          </w:p>
        </w:tc>
      </w:tr>
      <w:tr w:rsidR="00F81493" w:rsidTr="00F81493">
        <w:tc>
          <w:tcPr>
            <w:tcW w:w="4392" w:type="dxa"/>
          </w:tcPr>
          <w:p w:rsidR="00F81493" w:rsidRDefault="00F81493">
            <w:r>
              <w:t>Atlantic Salmon</w:t>
            </w:r>
          </w:p>
        </w:tc>
        <w:tc>
          <w:tcPr>
            <w:tcW w:w="4392" w:type="dxa"/>
          </w:tcPr>
          <w:p w:rsidR="00F81493" w:rsidRPr="00F81493" w:rsidRDefault="00F81493" w:rsidP="00F81493">
            <w:pPr>
              <w:rPr>
                <w:i/>
              </w:rPr>
            </w:pPr>
            <w:proofErr w:type="spellStart"/>
            <w:r w:rsidRPr="00F81493">
              <w:rPr>
                <w:i/>
              </w:rPr>
              <w:t>Salmo</w:t>
            </w:r>
            <w:proofErr w:type="spellEnd"/>
            <w:r w:rsidRPr="00F81493">
              <w:rPr>
                <w:i/>
              </w:rPr>
              <w:t xml:space="preserve"> </w:t>
            </w:r>
            <w:proofErr w:type="spellStart"/>
            <w:r w:rsidRPr="00F81493">
              <w:rPr>
                <w:i/>
              </w:rPr>
              <w:t>salar</w:t>
            </w:r>
            <w:proofErr w:type="spellEnd"/>
          </w:p>
        </w:tc>
        <w:tc>
          <w:tcPr>
            <w:tcW w:w="4392" w:type="dxa"/>
          </w:tcPr>
          <w:p w:rsidR="00F81493" w:rsidRDefault="00F81493">
            <w:r>
              <w:t>Maine, New Brunswick, Nova Scotia</w:t>
            </w:r>
          </w:p>
        </w:tc>
      </w:tr>
      <w:tr w:rsidR="00F81493" w:rsidTr="00F81493">
        <w:tc>
          <w:tcPr>
            <w:tcW w:w="4392" w:type="dxa"/>
          </w:tcPr>
          <w:p w:rsidR="00F81493" w:rsidRDefault="00F81493">
            <w:r>
              <w:t>Eastern/American oyster</w:t>
            </w:r>
          </w:p>
        </w:tc>
        <w:tc>
          <w:tcPr>
            <w:tcW w:w="4392" w:type="dxa"/>
          </w:tcPr>
          <w:p w:rsidR="00F81493" w:rsidRPr="00F81493" w:rsidRDefault="00F81493" w:rsidP="00F81493">
            <w:pPr>
              <w:rPr>
                <w:i/>
              </w:rPr>
            </w:pPr>
            <w:proofErr w:type="spellStart"/>
            <w:r w:rsidRPr="00F81493">
              <w:rPr>
                <w:i/>
              </w:rPr>
              <w:t>Crassostrea</w:t>
            </w:r>
            <w:proofErr w:type="spellEnd"/>
            <w:r w:rsidRPr="00F81493">
              <w:rPr>
                <w:i/>
              </w:rPr>
              <w:t xml:space="preserve"> </w:t>
            </w:r>
            <w:proofErr w:type="spellStart"/>
            <w:r w:rsidRPr="00F81493">
              <w:rPr>
                <w:i/>
              </w:rPr>
              <w:t>virginica</w:t>
            </w:r>
            <w:proofErr w:type="spellEnd"/>
          </w:p>
        </w:tc>
        <w:tc>
          <w:tcPr>
            <w:tcW w:w="4392" w:type="dxa"/>
          </w:tcPr>
          <w:p w:rsidR="00F81493" w:rsidRDefault="002E2655" w:rsidP="002E2655">
            <w:r>
              <w:t>Massachusetts , New Hampshire, Maine</w:t>
            </w:r>
            <w:r w:rsidR="00F81493">
              <w:t>, Nova Scotia</w:t>
            </w:r>
          </w:p>
        </w:tc>
      </w:tr>
      <w:tr w:rsidR="00F81493" w:rsidTr="00F81493">
        <w:tc>
          <w:tcPr>
            <w:tcW w:w="4392" w:type="dxa"/>
          </w:tcPr>
          <w:p w:rsidR="00F81493" w:rsidRDefault="00F81493">
            <w:r>
              <w:t>Blue Mussel</w:t>
            </w:r>
          </w:p>
        </w:tc>
        <w:tc>
          <w:tcPr>
            <w:tcW w:w="4392" w:type="dxa"/>
          </w:tcPr>
          <w:p w:rsidR="00F81493" w:rsidRPr="00F81493" w:rsidRDefault="00F81493" w:rsidP="00F81493">
            <w:pPr>
              <w:rPr>
                <w:i/>
              </w:rPr>
            </w:pPr>
            <w:proofErr w:type="spellStart"/>
            <w:r w:rsidRPr="00F81493">
              <w:rPr>
                <w:i/>
              </w:rPr>
              <w:t>Mytilus</w:t>
            </w:r>
            <w:proofErr w:type="spellEnd"/>
            <w:r w:rsidRPr="00F81493">
              <w:rPr>
                <w:i/>
              </w:rPr>
              <w:t xml:space="preserve"> </w:t>
            </w:r>
            <w:proofErr w:type="spellStart"/>
            <w:r w:rsidRPr="00F81493">
              <w:rPr>
                <w:i/>
              </w:rPr>
              <w:t>edulis</w:t>
            </w:r>
            <w:proofErr w:type="spellEnd"/>
          </w:p>
        </w:tc>
        <w:tc>
          <w:tcPr>
            <w:tcW w:w="4392" w:type="dxa"/>
          </w:tcPr>
          <w:p w:rsidR="00F81493" w:rsidRDefault="002E2655" w:rsidP="002E2655">
            <w:r>
              <w:t xml:space="preserve">Massachusetts, New Hampshire , </w:t>
            </w:r>
            <w:r w:rsidR="00F81493">
              <w:t>Maine, New Brunswick</w:t>
            </w:r>
          </w:p>
        </w:tc>
      </w:tr>
      <w:tr w:rsidR="00F81493" w:rsidTr="00F81493">
        <w:tc>
          <w:tcPr>
            <w:tcW w:w="4392" w:type="dxa"/>
          </w:tcPr>
          <w:p w:rsidR="00F81493" w:rsidRDefault="00F81493">
            <w:r>
              <w:t>Giant Sea Scallop/Sea scallops</w:t>
            </w:r>
          </w:p>
        </w:tc>
        <w:tc>
          <w:tcPr>
            <w:tcW w:w="4392" w:type="dxa"/>
          </w:tcPr>
          <w:p w:rsidR="00F81493" w:rsidRPr="00F81493" w:rsidRDefault="00F81493" w:rsidP="00F81493">
            <w:pPr>
              <w:rPr>
                <w:i/>
              </w:rPr>
            </w:pPr>
            <w:proofErr w:type="spellStart"/>
            <w:r w:rsidRPr="00F81493">
              <w:rPr>
                <w:i/>
              </w:rPr>
              <w:t>Placopecten</w:t>
            </w:r>
            <w:proofErr w:type="spellEnd"/>
            <w:r w:rsidRPr="00F81493">
              <w:rPr>
                <w:i/>
              </w:rPr>
              <w:t xml:space="preserve"> </w:t>
            </w:r>
            <w:proofErr w:type="spellStart"/>
            <w:r w:rsidRPr="00F81493">
              <w:rPr>
                <w:i/>
              </w:rPr>
              <w:t>magellanicus</w:t>
            </w:r>
            <w:proofErr w:type="spellEnd"/>
          </w:p>
        </w:tc>
        <w:tc>
          <w:tcPr>
            <w:tcW w:w="4392" w:type="dxa"/>
          </w:tcPr>
          <w:p w:rsidR="00F81493" w:rsidRDefault="00F81493">
            <w:r>
              <w:t>Massachusetts, New Brunswick, Nova Scotia</w:t>
            </w:r>
          </w:p>
        </w:tc>
      </w:tr>
      <w:tr w:rsidR="00F81493" w:rsidTr="00F81493">
        <w:tc>
          <w:tcPr>
            <w:tcW w:w="4392" w:type="dxa"/>
          </w:tcPr>
          <w:p w:rsidR="00F81493" w:rsidRDefault="00F81493">
            <w:r>
              <w:t>Quahogs</w:t>
            </w:r>
          </w:p>
        </w:tc>
        <w:tc>
          <w:tcPr>
            <w:tcW w:w="4392" w:type="dxa"/>
          </w:tcPr>
          <w:p w:rsidR="00F81493" w:rsidRPr="00F81493" w:rsidRDefault="00F81493" w:rsidP="00F81493">
            <w:pPr>
              <w:rPr>
                <w:i/>
              </w:rPr>
            </w:pPr>
            <w:proofErr w:type="spellStart"/>
            <w:r w:rsidRPr="00F81493">
              <w:rPr>
                <w:i/>
              </w:rPr>
              <w:t>Mercenaria</w:t>
            </w:r>
            <w:proofErr w:type="spellEnd"/>
            <w:r w:rsidRPr="00F81493">
              <w:rPr>
                <w:i/>
              </w:rPr>
              <w:t xml:space="preserve"> </w:t>
            </w:r>
            <w:proofErr w:type="spellStart"/>
            <w:r w:rsidRPr="00F81493">
              <w:rPr>
                <w:i/>
              </w:rPr>
              <w:t>mercenaria</w:t>
            </w:r>
            <w:proofErr w:type="spellEnd"/>
          </w:p>
        </w:tc>
        <w:tc>
          <w:tcPr>
            <w:tcW w:w="4392" w:type="dxa"/>
          </w:tcPr>
          <w:p w:rsidR="00F81493" w:rsidRDefault="00F81493">
            <w:r>
              <w:t>Massachusetts</w:t>
            </w:r>
          </w:p>
        </w:tc>
      </w:tr>
      <w:tr w:rsidR="00F81493" w:rsidTr="00F81493">
        <w:tc>
          <w:tcPr>
            <w:tcW w:w="4392" w:type="dxa"/>
          </w:tcPr>
          <w:p w:rsidR="00F81493" w:rsidRDefault="00F81493">
            <w:r>
              <w:t>Soft shell clam</w:t>
            </w:r>
          </w:p>
        </w:tc>
        <w:tc>
          <w:tcPr>
            <w:tcW w:w="4392" w:type="dxa"/>
          </w:tcPr>
          <w:p w:rsidR="00F81493" w:rsidRPr="00F81493" w:rsidRDefault="00F81493" w:rsidP="00F81493">
            <w:pPr>
              <w:rPr>
                <w:i/>
              </w:rPr>
            </w:pPr>
            <w:proofErr w:type="spellStart"/>
            <w:r w:rsidRPr="00F81493">
              <w:rPr>
                <w:i/>
              </w:rPr>
              <w:t>Mya</w:t>
            </w:r>
            <w:proofErr w:type="spellEnd"/>
            <w:r w:rsidRPr="00F81493">
              <w:rPr>
                <w:i/>
              </w:rPr>
              <w:t xml:space="preserve"> </w:t>
            </w:r>
            <w:proofErr w:type="spellStart"/>
            <w:r w:rsidRPr="00F81493">
              <w:rPr>
                <w:i/>
              </w:rPr>
              <w:t>arenaria</w:t>
            </w:r>
            <w:proofErr w:type="spellEnd"/>
          </w:p>
        </w:tc>
        <w:tc>
          <w:tcPr>
            <w:tcW w:w="4392" w:type="dxa"/>
          </w:tcPr>
          <w:p w:rsidR="00F81493" w:rsidRDefault="00F81493">
            <w:r>
              <w:t>Massachusetts, New Brunswick</w:t>
            </w:r>
          </w:p>
        </w:tc>
      </w:tr>
      <w:tr w:rsidR="00F81493" w:rsidTr="00F81493">
        <w:tc>
          <w:tcPr>
            <w:tcW w:w="4392" w:type="dxa"/>
          </w:tcPr>
          <w:p w:rsidR="00F81493" w:rsidRDefault="00F81493">
            <w:r>
              <w:t>Surf clam</w:t>
            </w:r>
          </w:p>
        </w:tc>
        <w:tc>
          <w:tcPr>
            <w:tcW w:w="4392" w:type="dxa"/>
          </w:tcPr>
          <w:p w:rsidR="00F81493" w:rsidRPr="00F81493" w:rsidRDefault="00F81493" w:rsidP="00F81493">
            <w:pPr>
              <w:rPr>
                <w:i/>
              </w:rPr>
            </w:pPr>
            <w:proofErr w:type="spellStart"/>
            <w:r w:rsidRPr="00F81493">
              <w:rPr>
                <w:i/>
              </w:rPr>
              <w:t>Spisula</w:t>
            </w:r>
            <w:proofErr w:type="spellEnd"/>
            <w:r w:rsidRPr="00F81493">
              <w:rPr>
                <w:i/>
              </w:rPr>
              <w:t xml:space="preserve">  </w:t>
            </w:r>
            <w:proofErr w:type="spellStart"/>
            <w:r w:rsidRPr="00F81493">
              <w:rPr>
                <w:i/>
              </w:rPr>
              <w:t>solidissimia</w:t>
            </w:r>
            <w:proofErr w:type="spellEnd"/>
          </w:p>
        </w:tc>
        <w:tc>
          <w:tcPr>
            <w:tcW w:w="4392" w:type="dxa"/>
          </w:tcPr>
          <w:p w:rsidR="00F81493" w:rsidRDefault="00F81493">
            <w:r>
              <w:t>Massachusetts</w:t>
            </w:r>
          </w:p>
        </w:tc>
      </w:tr>
      <w:tr w:rsidR="00F81493" w:rsidTr="00F81493">
        <w:tc>
          <w:tcPr>
            <w:tcW w:w="4392" w:type="dxa"/>
          </w:tcPr>
          <w:p w:rsidR="00F81493" w:rsidRDefault="00F81493">
            <w:r>
              <w:t>Bay scallops</w:t>
            </w:r>
          </w:p>
        </w:tc>
        <w:tc>
          <w:tcPr>
            <w:tcW w:w="4392" w:type="dxa"/>
          </w:tcPr>
          <w:p w:rsidR="00F81493" w:rsidRPr="00F81493" w:rsidRDefault="00F81493" w:rsidP="00F81493">
            <w:pPr>
              <w:rPr>
                <w:i/>
              </w:rPr>
            </w:pPr>
            <w:proofErr w:type="spellStart"/>
            <w:r w:rsidRPr="00F81493">
              <w:rPr>
                <w:i/>
              </w:rPr>
              <w:t>Aequipecten</w:t>
            </w:r>
            <w:proofErr w:type="spellEnd"/>
            <w:r w:rsidRPr="00F81493">
              <w:rPr>
                <w:i/>
              </w:rPr>
              <w:t xml:space="preserve"> </w:t>
            </w:r>
            <w:proofErr w:type="spellStart"/>
            <w:r w:rsidRPr="00F81493">
              <w:rPr>
                <w:i/>
              </w:rPr>
              <w:t>irradians</w:t>
            </w:r>
            <w:proofErr w:type="spellEnd"/>
          </w:p>
        </w:tc>
        <w:tc>
          <w:tcPr>
            <w:tcW w:w="4392" w:type="dxa"/>
          </w:tcPr>
          <w:p w:rsidR="00F81493" w:rsidRDefault="00F81493">
            <w:r>
              <w:t>Massachusetts</w:t>
            </w:r>
          </w:p>
        </w:tc>
      </w:tr>
      <w:tr w:rsidR="00F81493" w:rsidTr="00F81493">
        <w:tc>
          <w:tcPr>
            <w:tcW w:w="4392" w:type="dxa"/>
          </w:tcPr>
          <w:p w:rsidR="00F81493" w:rsidRDefault="00F81493">
            <w:r>
              <w:t>Urchins</w:t>
            </w:r>
          </w:p>
        </w:tc>
        <w:tc>
          <w:tcPr>
            <w:tcW w:w="4392" w:type="dxa"/>
          </w:tcPr>
          <w:p w:rsidR="00F81493" w:rsidRPr="00F81493" w:rsidRDefault="00F81493" w:rsidP="00F81493">
            <w:pPr>
              <w:rPr>
                <w:i/>
              </w:rPr>
            </w:pPr>
            <w:proofErr w:type="spellStart"/>
            <w:r w:rsidRPr="00F81493">
              <w:rPr>
                <w:i/>
              </w:rPr>
              <w:t>Strongylocentrotus</w:t>
            </w:r>
            <w:proofErr w:type="spellEnd"/>
            <w:r w:rsidRPr="00F81493">
              <w:rPr>
                <w:i/>
              </w:rPr>
              <w:t xml:space="preserve"> </w:t>
            </w:r>
            <w:proofErr w:type="spellStart"/>
            <w:r w:rsidRPr="00F81493">
              <w:rPr>
                <w:i/>
              </w:rPr>
              <w:t>droebachiensis</w:t>
            </w:r>
            <w:proofErr w:type="spellEnd"/>
          </w:p>
        </w:tc>
        <w:tc>
          <w:tcPr>
            <w:tcW w:w="4392" w:type="dxa"/>
          </w:tcPr>
          <w:p w:rsidR="00F81493" w:rsidRDefault="00F81493">
            <w:r>
              <w:t>New Hampshire</w:t>
            </w:r>
          </w:p>
        </w:tc>
      </w:tr>
      <w:tr w:rsidR="00F81493" w:rsidTr="00F81493">
        <w:tc>
          <w:tcPr>
            <w:tcW w:w="4392" w:type="dxa"/>
          </w:tcPr>
          <w:p w:rsidR="00F81493" w:rsidRDefault="00F81493">
            <w:r>
              <w:t>Rainbow Trout</w:t>
            </w:r>
          </w:p>
        </w:tc>
        <w:tc>
          <w:tcPr>
            <w:tcW w:w="4392" w:type="dxa"/>
          </w:tcPr>
          <w:p w:rsidR="00F81493" w:rsidRPr="00F81493" w:rsidRDefault="00F81493" w:rsidP="00F81493">
            <w:pPr>
              <w:rPr>
                <w:i/>
              </w:rPr>
            </w:pPr>
            <w:proofErr w:type="spellStart"/>
            <w:r w:rsidRPr="00F81493">
              <w:rPr>
                <w:i/>
              </w:rPr>
              <w:t>Salmo</w:t>
            </w:r>
            <w:proofErr w:type="spellEnd"/>
            <w:r w:rsidRPr="00F81493">
              <w:rPr>
                <w:i/>
              </w:rPr>
              <w:t xml:space="preserve"> </w:t>
            </w:r>
            <w:proofErr w:type="spellStart"/>
            <w:r w:rsidRPr="00F81493">
              <w:rPr>
                <w:i/>
              </w:rPr>
              <w:t>gairdneri</w:t>
            </w:r>
            <w:proofErr w:type="spellEnd"/>
            <w:r w:rsidRPr="00F81493">
              <w:rPr>
                <w:i/>
              </w:rPr>
              <w:t xml:space="preserve"> </w:t>
            </w:r>
            <w:proofErr w:type="spellStart"/>
            <w:r w:rsidRPr="00F81493">
              <w:rPr>
                <w:i/>
              </w:rPr>
              <w:t>kamloops</w:t>
            </w:r>
            <w:proofErr w:type="spellEnd"/>
          </w:p>
        </w:tc>
        <w:tc>
          <w:tcPr>
            <w:tcW w:w="4392" w:type="dxa"/>
          </w:tcPr>
          <w:p w:rsidR="00F81493" w:rsidRDefault="00F81493">
            <w:r>
              <w:t>Nova Scotia</w:t>
            </w:r>
          </w:p>
        </w:tc>
      </w:tr>
      <w:tr w:rsidR="00F81493" w:rsidTr="00F81493">
        <w:tc>
          <w:tcPr>
            <w:tcW w:w="4392" w:type="dxa"/>
          </w:tcPr>
          <w:p w:rsidR="00F81493" w:rsidRDefault="00F81493">
            <w:r>
              <w:t>European oysters</w:t>
            </w:r>
          </w:p>
        </w:tc>
        <w:tc>
          <w:tcPr>
            <w:tcW w:w="4392" w:type="dxa"/>
          </w:tcPr>
          <w:p w:rsidR="00F81493" w:rsidRPr="00F81493" w:rsidRDefault="00F81493" w:rsidP="00F81493">
            <w:pPr>
              <w:tabs>
                <w:tab w:val="left" w:pos="1275"/>
              </w:tabs>
              <w:rPr>
                <w:i/>
              </w:rPr>
            </w:pPr>
            <w:proofErr w:type="spellStart"/>
            <w:r w:rsidRPr="00F81493">
              <w:rPr>
                <w:i/>
              </w:rPr>
              <w:t>Ostrea</w:t>
            </w:r>
            <w:proofErr w:type="spellEnd"/>
            <w:r w:rsidRPr="00F81493">
              <w:rPr>
                <w:i/>
              </w:rPr>
              <w:t xml:space="preserve"> </w:t>
            </w:r>
            <w:proofErr w:type="spellStart"/>
            <w:r w:rsidRPr="00F81493">
              <w:rPr>
                <w:i/>
              </w:rPr>
              <w:t>edulis</w:t>
            </w:r>
            <w:proofErr w:type="spellEnd"/>
          </w:p>
        </w:tc>
        <w:tc>
          <w:tcPr>
            <w:tcW w:w="4392" w:type="dxa"/>
          </w:tcPr>
          <w:p w:rsidR="00F81493" w:rsidRDefault="00F81493">
            <w:r>
              <w:t>Nova Scotia</w:t>
            </w:r>
          </w:p>
        </w:tc>
      </w:tr>
    </w:tbl>
    <w:p w:rsidR="00F81493" w:rsidRDefault="00F81493"/>
    <w:p w:rsidR="00F81493" w:rsidRDefault="00A250B1">
      <w:pPr>
        <w:rPr>
          <w:b/>
          <w:color w:val="FF0000"/>
        </w:rPr>
      </w:pPr>
      <w:r>
        <w:t xml:space="preserve">Regulations are distinctly different in the various States and Provinces and have greatly shaped the growth of the aquaculture industry. </w:t>
      </w:r>
      <w:r w:rsidR="00B6331E">
        <w:t xml:space="preserve"> Consequently aquaculture has emerged as a dominant industry in parts of the Bay of Fundy while some more southern locations have seen more modest growth.</w:t>
      </w:r>
    </w:p>
    <w:p w:rsidR="00B6331E" w:rsidRDefault="00B6331E">
      <w:pPr>
        <w:rPr>
          <w:b/>
        </w:rPr>
      </w:pPr>
    </w:p>
    <w:p w:rsidR="00F81493" w:rsidRDefault="00F81493">
      <w:pPr>
        <w:rPr>
          <w:b/>
        </w:rPr>
      </w:pPr>
    </w:p>
    <w:p w:rsidR="008B0DA6" w:rsidRDefault="008B0DA6">
      <w:pPr>
        <w:rPr>
          <w:b/>
        </w:rPr>
      </w:pPr>
      <w:r>
        <w:rPr>
          <w:b/>
        </w:rPr>
        <w:lastRenderedPageBreak/>
        <w:t>Focus Box: Why Indicators?</w:t>
      </w:r>
    </w:p>
    <w:p w:rsidR="008B0DA6" w:rsidRDefault="008B0DA6">
      <w:r>
        <w:t>Simply put, indicators are one of the best tools for understanding the complexities of the Gulf of Maine. Like the dashboard of a vehicle, indicators can work in concert with each other to provide an essential look at the larger system. Indicators can be quite complex, like the Dow Jones Index, or very simple. Simple indicators themselves are often driven by complicated pressures and responses. The two indicators that ESIP has chosen for aquaculture in the Gulf of Maine are:</w:t>
      </w:r>
    </w:p>
    <w:p w:rsidR="008B0DA6" w:rsidRDefault="008B0DA6">
      <w:r>
        <w:t>1. The economic value of aquaculture</w:t>
      </w:r>
    </w:p>
    <w:p w:rsidR="008B0DA6" w:rsidRDefault="008B0DA6">
      <w:r>
        <w:t xml:space="preserve">2. Number </w:t>
      </w:r>
      <w:r w:rsidR="0056375D">
        <w:t>of acres leased for aquaculture</w:t>
      </w:r>
      <w:r>
        <w:t>.</w:t>
      </w:r>
    </w:p>
    <w:p w:rsidR="00906FD5" w:rsidRDefault="00906FD5"/>
    <w:p w:rsidR="008B0DA6" w:rsidRDefault="008B0DA6">
      <w:pPr>
        <w:rPr>
          <w:b/>
        </w:rPr>
      </w:pPr>
      <w:r w:rsidRPr="00906FD5">
        <w:rPr>
          <w:b/>
          <w:color w:val="FF0000"/>
        </w:rPr>
        <w:t>Page 2</w:t>
      </w:r>
      <w:r w:rsidR="00906FD5">
        <w:rPr>
          <w:b/>
          <w:color w:val="FF0000"/>
        </w:rPr>
        <w:t xml:space="preserve"> </w:t>
      </w:r>
      <w:r w:rsidR="00906FD5">
        <w:rPr>
          <w:b/>
        </w:rPr>
        <w:t>Indicator: Economic value of aquaculture</w:t>
      </w:r>
    </w:p>
    <w:p w:rsidR="00906FD5" w:rsidRDefault="00906FD5">
      <w:r>
        <w:t xml:space="preserve">Aquaculture in the Gulf of Maine is a productive and </w:t>
      </w:r>
      <w:r w:rsidR="00CD4983">
        <w:t>valuable</w:t>
      </w:r>
      <w:r>
        <w:t xml:space="preserve"> sector of the economy. </w:t>
      </w:r>
      <w:r w:rsidR="00C57491">
        <w:t xml:space="preserve"> </w:t>
      </w:r>
      <w:r>
        <w:t>In 2008, total finfish and shellfish economic value was place</w:t>
      </w:r>
      <w:r w:rsidR="00C57491">
        <w:t>d</w:t>
      </w:r>
      <w:r>
        <w:t xml:space="preserve"> at over $83,000,000 USD or </w:t>
      </w:r>
      <w:r w:rsidR="00131768">
        <w:t xml:space="preserve"> </w:t>
      </w:r>
      <w:r>
        <w:t xml:space="preserve">$88,000,000 CAD. The relative importance of aquaculture varies between the various States or Provinces and is displayed in the </w:t>
      </w:r>
      <w:r w:rsidR="00C57491">
        <w:t>table</w:t>
      </w:r>
      <w:r>
        <w:t xml:space="preserve"> below.</w:t>
      </w:r>
      <w:r w:rsidR="00C57491">
        <w:t xml:space="preserve"> </w:t>
      </w:r>
      <w:r>
        <w:t xml:space="preserve">  </w:t>
      </w:r>
      <w:r w:rsidR="00C57491">
        <w:t xml:space="preserve">Three State or Provinces have records that </w:t>
      </w:r>
      <w:r w:rsidR="00131768">
        <w:t>are of sufficient length to look at changes over time.</w:t>
      </w:r>
      <w:r w:rsidR="00C57491">
        <w:t xml:space="preserve"> </w:t>
      </w:r>
      <w:r w:rsidR="00131768">
        <w:t xml:space="preserve">  </w:t>
      </w:r>
      <w:r w:rsidR="00C57491">
        <w:t xml:space="preserve">New Brunswick's aquaculture leases have been recorded from 1999 through to present and represent salmon production only. The economic value of salmon aquaculture </w:t>
      </w:r>
      <w:r w:rsidR="00131768">
        <w:t xml:space="preserve">during that time </w:t>
      </w:r>
      <w:r w:rsidR="00C57491">
        <w:t>has n</w:t>
      </w:r>
      <w:r w:rsidR="00131768">
        <w:t>early doubled</w:t>
      </w:r>
      <w:r w:rsidR="00C57491">
        <w:t xml:space="preserve">.  In contrast, Maine's aquaculture values </w:t>
      </w:r>
      <w:r w:rsidR="00131768">
        <w:t>have</w:t>
      </w:r>
      <w:r w:rsidR="00C57491">
        <w:t xml:space="preserve"> decreased from a high of $90,725</w:t>
      </w:r>
      <w:r w:rsidR="00131768">
        <w:t xml:space="preserve">,385 </w:t>
      </w:r>
      <w:r w:rsidR="00C57491">
        <w:t>USD ($134,745,560 CAD) in 2000 to a low of approximately $20,000,000 USD ($25,000,000 CAD) in 2007. The proportion of total economic value based on shellfish as opposed to finfish also varies betwe</w:t>
      </w:r>
      <w:r w:rsidR="00131768">
        <w:t>en State and Province</w:t>
      </w:r>
      <w:r w:rsidR="00CD4983">
        <w:t>. For example, Massachusetts' aquaculture sector in the Gulf of Maine relies upon shellfish whereas Maine, New Brunswick, and Nova Scotia have a larger portion of aquaculture value derived from finfish with salmon being the dominant species.</w:t>
      </w:r>
      <w:r w:rsidR="00063782">
        <w:t xml:space="preserve">  No single indicator can fully assess the value and presence of aquaculture in the Gulf of Maine. Despite this, economic indicators such as the one presented here do allow for better understanding of the impact of aquaculture on the communities that surround the Gulf of Maine. It is expected that if fisheries income continues to decline more and more individuals used to working on the Gulf of Maine will turn to aquaculture as a means of support.</w:t>
      </w:r>
    </w:p>
    <w:p w:rsidR="00C57491" w:rsidRDefault="00C57491"/>
    <w:p w:rsidR="00C57491" w:rsidRPr="000A1A4D" w:rsidRDefault="000A1A4D" w:rsidP="00C57491">
      <w:pPr>
        <w:rPr>
          <w:b/>
          <w:sz w:val="16"/>
          <w:szCs w:val="16"/>
        </w:rPr>
      </w:pPr>
      <w:r>
        <w:rPr>
          <w:b/>
          <w:sz w:val="16"/>
          <w:szCs w:val="16"/>
        </w:rPr>
        <w:t xml:space="preserve">Table: </w:t>
      </w:r>
      <w:r w:rsidR="00C57491" w:rsidRPr="000A1A4D">
        <w:rPr>
          <w:b/>
          <w:sz w:val="16"/>
          <w:szCs w:val="16"/>
        </w:rPr>
        <w:t>Economic Value of Aquaculture - Total Finfish + Shellfish</w:t>
      </w:r>
    </w:p>
    <w:tbl>
      <w:tblPr>
        <w:tblStyle w:val="TableGrid"/>
        <w:tblW w:w="14381" w:type="dxa"/>
        <w:tblInd w:w="-773" w:type="dxa"/>
        <w:tblLayout w:type="fixed"/>
        <w:tblLook w:val="04A0"/>
      </w:tblPr>
      <w:tblGrid>
        <w:gridCol w:w="1421"/>
        <w:gridCol w:w="1080"/>
        <w:gridCol w:w="1170"/>
        <w:gridCol w:w="1260"/>
        <w:gridCol w:w="1080"/>
        <w:gridCol w:w="1170"/>
        <w:gridCol w:w="1170"/>
        <w:gridCol w:w="1260"/>
        <w:gridCol w:w="1260"/>
        <w:gridCol w:w="1170"/>
        <w:gridCol w:w="1170"/>
        <w:gridCol w:w="1170"/>
      </w:tblGrid>
      <w:tr w:rsidR="00C57491" w:rsidRPr="00D17757" w:rsidTr="00D27F84">
        <w:trPr>
          <w:trHeight w:val="1282"/>
        </w:trPr>
        <w:tc>
          <w:tcPr>
            <w:tcW w:w="1421" w:type="dxa"/>
            <w:tcBorders>
              <w:bottom w:val="single" w:sz="4" w:space="0" w:color="000000" w:themeColor="text1"/>
            </w:tcBorders>
          </w:tcPr>
          <w:p w:rsidR="00C57491" w:rsidRPr="00D17757" w:rsidRDefault="00C57491" w:rsidP="00D27F84">
            <w:pPr>
              <w:rPr>
                <w:b/>
                <w:sz w:val="16"/>
                <w:szCs w:val="16"/>
                <w:vertAlign w:val="superscript"/>
              </w:rPr>
            </w:pPr>
            <w:r w:rsidRPr="00D17757">
              <w:rPr>
                <w:b/>
                <w:sz w:val="16"/>
                <w:szCs w:val="16"/>
              </w:rPr>
              <w:lastRenderedPageBreak/>
              <w:t>State/Province</w:t>
            </w:r>
          </w:p>
        </w:tc>
        <w:tc>
          <w:tcPr>
            <w:tcW w:w="1080" w:type="dxa"/>
          </w:tcPr>
          <w:p w:rsidR="00C57491" w:rsidRPr="00D17757" w:rsidRDefault="00C57491" w:rsidP="00D27F84">
            <w:pPr>
              <w:jc w:val="center"/>
              <w:rPr>
                <w:b/>
                <w:sz w:val="16"/>
                <w:szCs w:val="16"/>
              </w:rPr>
            </w:pPr>
            <w:r w:rsidRPr="00D17757">
              <w:rPr>
                <w:b/>
                <w:sz w:val="16"/>
                <w:szCs w:val="16"/>
              </w:rPr>
              <w:t>1999</w:t>
            </w:r>
          </w:p>
        </w:tc>
        <w:tc>
          <w:tcPr>
            <w:tcW w:w="1170" w:type="dxa"/>
          </w:tcPr>
          <w:p w:rsidR="00C57491" w:rsidRPr="00D17757" w:rsidRDefault="00C57491" w:rsidP="00D27F84">
            <w:pPr>
              <w:jc w:val="center"/>
              <w:rPr>
                <w:b/>
                <w:sz w:val="16"/>
                <w:szCs w:val="16"/>
              </w:rPr>
            </w:pPr>
            <w:r w:rsidRPr="00D17757">
              <w:rPr>
                <w:b/>
                <w:sz w:val="16"/>
                <w:szCs w:val="16"/>
              </w:rPr>
              <w:t>2000</w:t>
            </w:r>
          </w:p>
        </w:tc>
        <w:tc>
          <w:tcPr>
            <w:tcW w:w="1260" w:type="dxa"/>
          </w:tcPr>
          <w:p w:rsidR="00C57491" w:rsidRPr="00D17757" w:rsidRDefault="00C57491" w:rsidP="00D27F84">
            <w:pPr>
              <w:jc w:val="center"/>
              <w:rPr>
                <w:b/>
                <w:sz w:val="16"/>
                <w:szCs w:val="16"/>
              </w:rPr>
            </w:pPr>
            <w:r w:rsidRPr="00D17757">
              <w:rPr>
                <w:b/>
                <w:sz w:val="16"/>
                <w:szCs w:val="16"/>
              </w:rPr>
              <w:t>2001</w:t>
            </w:r>
          </w:p>
        </w:tc>
        <w:tc>
          <w:tcPr>
            <w:tcW w:w="1080" w:type="dxa"/>
          </w:tcPr>
          <w:p w:rsidR="00C57491" w:rsidRPr="00D17757" w:rsidRDefault="00C57491" w:rsidP="00D27F84">
            <w:pPr>
              <w:jc w:val="center"/>
              <w:rPr>
                <w:b/>
                <w:sz w:val="16"/>
                <w:szCs w:val="16"/>
              </w:rPr>
            </w:pPr>
            <w:r w:rsidRPr="00D17757">
              <w:rPr>
                <w:b/>
                <w:sz w:val="16"/>
                <w:szCs w:val="16"/>
              </w:rPr>
              <w:t>2002</w:t>
            </w:r>
          </w:p>
        </w:tc>
        <w:tc>
          <w:tcPr>
            <w:tcW w:w="1170" w:type="dxa"/>
          </w:tcPr>
          <w:p w:rsidR="00C57491" w:rsidRPr="00D17757" w:rsidRDefault="00C57491" w:rsidP="00D27F84">
            <w:pPr>
              <w:jc w:val="center"/>
              <w:rPr>
                <w:b/>
                <w:sz w:val="16"/>
                <w:szCs w:val="16"/>
              </w:rPr>
            </w:pPr>
            <w:r w:rsidRPr="00D17757">
              <w:rPr>
                <w:b/>
                <w:sz w:val="16"/>
                <w:szCs w:val="16"/>
              </w:rPr>
              <w:t>2003</w:t>
            </w:r>
          </w:p>
        </w:tc>
        <w:tc>
          <w:tcPr>
            <w:tcW w:w="1170" w:type="dxa"/>
          </w:tcPr>
          <w:p w:rsidR="00C57491" w:rsidRPr="00D17757" w:rsidRDefault="00C57491" w:rsidP="00D27F84">
            <w:pPr>
              <w:jc w:val="center"/>
              <w:rPr>
                <w:b/>
                <w:sz w:val="16"/>
                <w:szCs w:val="16"/>
              </w:rPr>
            </w:pPr>
            <w:r w:rsidRPr="00D17757">
              <w:rPr>
                <w:b/>
                <w:sz w:val="16"/>
                <w:szCs w:val="16"/>
              </w:rPr>
              <w:t>2004</w:t>
            </w:r>
          </w:p>
        </w:tc>
        <w:tc>
          <w:tcPr>
            <w:tcW w:w="1260" w:type="dxa"/>
          </w:tcPr>
          <w:p w:rsidR="00C57491" w:rsidRPr="00D17757" w:rsidRDefault="00C57491" w:rsidP="00D27F84">
            <w:pPr>
              <w:jc w:val="center"/>
              <w:rPr>
                <w:b/>
                <w:sz w:val="16"/>
                <w:szCs w:val="16"/>
              </w:rPr>
            </w:pPr>
            <w:r w:rsidRPr="00D17757">
              <w:rPr>
                <w:b/>
                <w:sz w:val="16"/>
                <w:szCs w:val="16"/>
              </w:rPr>
              <w:t>2005</w:t>
            </w:r>
          </w:p>
        </w:tc>
        <w:tc>
          <w:tcPr>
            <w:tcW w:w="1260" w:type="dxa"/>
          </w:tcPr>
          <w:p w:rsidR="00C57491" w:rsidRPr="00D17757" w:rsidRDefault="00C57491" w:rsidP="00D27F84">
            <w:pPr>
              <w:jc w:val="center"/>
              <w:rPr>
                <w:b/>
                <w:sz w:val="16"/>
                <w:szCs w:val="16"/>
              </w:rPr>
            </w:pPr>
            <w:r w:rsidRPr="00D17757">
              <w:rPr>
                <w:b/>
                <w:sz w:val="16"/>
                <w:szCs w:val="16"/>
              </w:rPr>
              <w:t>2006</w:t>
            </w:r>
          </w:p>
        </w:tc>
        <w:tc>
          <w:tcPr>
            <w:tcW w:w="1170" w:type="dxa"/>
          </w:tcPr>
          <w:p w:rsidR="00C57491" w:rsidRPr="00D17757" w:rsidRDefault="00C57491" w:rsidP="00D27F84">
            <w:pPr>
              <w:jc w:val="center"/>
              <w:rPr>
                <w:b/>
                <w:sz w:val="16"/>
                <w:szCs w:val="16"/>
              </w:rPr>
            </w:pPr>
            <w:r w:rsidRPr="00D17757">
              <w:rPr>
                <w:b/>
                <w:sz w:val="16"/>
                <w:szCs w:val="16"/>
              </w:rPr>
              <w:t>2007</w:t>
            </w:r>
          </w:p>
        </w:tc>
        <w:tc>
          <w:tcPr>
            <w:tcW w:w="1170" w:type="dxa"/>
          </w:tcPr>
          <w:p w:rsidR="00C57491" w:rsidRPr="00D17757" w:rsidRDefault="00C57491" w:rsidP="00D27F84">
            <w:pPr>
              <w:jc w:val="center"/>
              <w:rPr>
                <w:b/>
                <w:sz w:val="16"/>
                <w:szCs w:val="16"/>
              </w:rPr>
            </w:pPr>
            <w:r w:rsidRPr="00D17757">
              <w:rPr>
                <w:b/>
                <w:sz w:val="16"/>
                <w:szCs w:val="16"/>
              </w:rPr>
              <w:t>2008</w:t>
            </w:r>
          </w:p>
        </w:tc>
        <w:tc>
          <w:tcPr>
            <w:tcW w:w="1170" w:type="dxa"/>
          </w:tcPr>
          <w:p w:rsidR="00C57491" w:rsidRPr="00D17757" w:rsidRDefault="00C57491" w:rsidP="00D27F84">
            <w:pPr>
              <w:jc w:val="center"/>
              <w:rPr>
                <w:b/>
                <w:sz w:val="16"/>
                <w:szCs w:val="16"/>
              </w:rPr>
            </w:pPr>
            <w:r w:rsidRPr="00D17757">
              <w:rPr>
                <w:b/>
                <w:sz w:val="16"/>
                <w:szCs w:val="16"/>
              </w:rPr>
              <w:t>2009</w:t>
            </w:r>
          </w:p>
        </w:tc>
      </w:tr>
      <w:tr w:rsidR="00C57491" w:rsidRPr="00D17757" w:rsidTr="00D27F84">
        <w:trPr>
          <w:trHeight w:val="384"/>
        </w:trPr>
        <w:tc>
          <w:tcPr>
            <w:tcW w:w="1421" w:type="dxa"/>
            <w:tcBorders>
              <w:bottom w:val="nil"/>
            </w:tcBorders>
          </w:tcPr>
          <w:p w:rsidR="00C57491" w:rsidRPr="00D17757" w:rsidRDefault="00C57491" w:rsidP="00D27F84">
            <w:pPr>
              <w:rPr>
                <w:b/>
                <w:sz w:val="16"/>
                <w:szCs w:val="16"/>
                <w:vertAlign w:val="superscript"/>
              </w:rPr>
            </w:pPr>
            <w:r w:rsidRPr="00D17757">
              <w:rPr>
                <w:b/>
                <w:sz w:val="16"/>
                <w:szCs w:val="16"/>
              </w:rPr>
              <w:t xml:space="preserve">Nova Scotia </w:t>
            </w:r>
            <w:r w:rsidRPr="00D17757">
              <w:rPr>
                <w:b/>
                <w:sz w:val="16"/>
                <w:szCs w:val="16"/>
                <w:vertAlign w:val="superscript"/>
              </w:rPr>
              <w:t>1</w:t>
            </w:r>
          </w:p>
        </w:tc>
        <w:tc>
          <w:tcPr>
            <w:tcW w:w="1080" w:type="dxa"/>
            <w:tcBorders>
              <w:bottom w:val="single" w:sz="4" w:space="0" w:color="000000" w:themeColor="text1"/>
            </w:tcBorders>
          </w:tcPr>
          <w:p w:rsidR="00C57491" w:rsidRPr="00D17757" w:rsidRDefault="00C57491" w:rsidP="00D27F84">
            <w:pPr>
              <w:jc w:val="center"/>
              <w:rPr>
                <w:sz w:val="16"/>
                <w:szCs w:val="16"/>
              </w:rPr>
            </w:pPr>
          </w:p>
        </w:tc>
        <w:tc>
          <w:tcPr>
            <w:tcW w:w="1170" w:type="dxa"/>
            <w:tcBorders>
              <w:bottom w:val="single" w:sz="4" w:space="0" w:color="000000" w:themeColor="text1"/>
            </w:tcBorders>
          </w:tcPr>
          <w:p w:rsidR="00C57491" w:rsidRPr="00D17757" w:rsidRDefault="00C57491" w:rsidP="00D27F84">
            <w:pPr>
              <w:jc w:val="center"/>
              <w:rPr>
                <w:sz w:val="16"/>
                <w:szCs w:val="16"/>
              </w:rPr>
            </w:pPr>
          </w:p>
        </w:tc>
        <w:tc>
          <w:tcPr>
            <w:tcW w:w="1260" w:type="dxa"/>
            <w:tcBorders>
              <w:bottom w:val="single" w:sz="4" w:space="0" w:color="000000" w:themeColor="text1"/>
            </w:tcBorders>
          </w:tcPr>
          <w:p w:rsidR="00C57491" w:rsidRPr="00D17757" w:rsidRDefault="00C57491" w:rsidP="00D27F84">
            <w:pPr>
              <w:jc w:val="center"/>
              <w:rPr>
                <w:sz w:val="16"/>
                <w:szCs w:val="16"/>
              </w:rPr>
            </w:pPr>
          </w:p>
        </w:tc>
        <w:tc>
          <w:tcPr>
            <w:tcW w:w="1080" w:type="dxa"/>
            <w:tcBorders>
              <w:bottom w:val="single" w:sz="4" w:space="0" w:color="000000" w:themeColor="text1"/>
            </w:tcBorders>
          </w:tcPr>
          <w:p w:rsidR="00C57491" w:rsidRPr="00D17757" w:rsidRDefault="00C57491" w:rsidP="00D27F84">
            <w:pPr>
              <w:jc w:val="center"/>
              <w:rPr>
                <w:sz w:val="16"/>
                <w:szCs w:val="16"/>
              </w:rPr>
            </w:pPr>
          </w:p>
        </w:tc>
        <w:tc>
          <w:tcPr>
            <w:tcW w:w="1170" w:type="dxa"/>
            <w:tcBorders>
              <w:bottom w:val="single" w:sz="4" w:space="0" w:color="000000" w:themeColor="text1"/>
            </w:tcBorders>
          </w:tcPr>
          <w:p w:rsidR="00C57491" w:rsidRPr="00D17757" w:rsidRDefault="00C57491" w:rsidP="00D27F84">
            <w:pPr>
              <w:jc w:val="center"/>
              <w:rPr>
                <w:sz w:val="16"/>
                <w:szCs w:val="16"/>
              </w:rPr>
            </w:pPr>
          </w:p>
        </w:tc>
        <w:tc>
          <w:tcPr>
            <w:tcW w:w="1170" w:type="dxa"/>
            <w:tcBorders>
              <w:bottom w:val="single" w:sz="4" w:space="0" w:color="000000" w:themeColor="text1"/>
            </w:tcBorders>
          </w:tcPr>
          <w:p w:rsidR="00C57491" w:rsidRPr="00D17757" w:rsidRDefault="00C57491" w:rsidP="00D27F84">
            <w:pPr>
              <w:jc w:val="center"/>
              <w:rPr>
                <w:sz w:val="16"/>
                <w:szCs w:val="16"/>
              </w:rPr>
            </w:pPr>
          </w:p>
        </w:tc>
        <w:tc>
          <w:tcPr>
            <w:tcW w:w="1260" w:type="dxa"/>
            <w:tcBorders>
              <w:bottom w:val="single" w:sz="4" w:space="0" w:color="000000" w:themeColor="text1"/>
            </w:tcBorders>
          </w:tcPr>
          <w:p w:rsidR="00C57491" w:rsidRPr="00D17757" w:rsidRDefault="00C57491" w:rsidP="00D27F84">
            <w:pPr>
              <w:jc w:val="center"/>
              <w:rPr>
                <w:sz w:val="16"/>
                <w:szCs w:val="16"/>
              </w:rPr>
            </w:pPr>
          </w:p>
        </w:tc>
        <w:tc>
          <w:tcPr>
            <w:tcW w:w="1260" w:type="dxa"/>
            <w:tcBorders>
              <w:bottom w:val="single" w:sz="4" w:space="0" w:color="000000" w:themeColor="text1"/>
            </w:tcBorders>
          </w:tcPr>
          <w:p w:rsidR="00C57491" w:rsidRPr="00D17757" w:rsidRDefault="00C57491" w:rsidP="00D27F84">
            <w:pPr>
              <w:jc w:val="center"/>
              <w:rPr>
                <w:sz w:val="16"/>
                <w:szCs w:val="16"/>
              </w:rPr>
            </w:pPr>
          </w:p>
        </w:tc>
        <w:tc>
          <w:tcPr>
            <w:tcW w:w="1170" w:type="dxa"/>
            <w:tcBorders>
              <w:bottom w:val="single" w:sz="4" w:space="0" w:color="000000" w:themeColor="text1"/>
            </w:tcBorders>
          </w:tcPr>
          <w:p w:rsidR="00C57491" w:rsidRPr="00D17757" w:rsidRDefault="00C57491" w:rsidP="00D27F84">
            <w:pPr>
              <w:jc w:val="center"/>
              <w:rPr>
                <w:sz w:val="16"/>
                <w:szCs w:val="16"/>
              </w:rPr>
            </w:pPr>
          </w:p>
        </w:tc>
        <w:tc>
          <w:tcPr>
            <w:tcW w:w="1170" w:type="dxa"/>
            <w:tcBorders>
              <w:bottom w:val="single" w:sz="4" w:space="0" w:color="000000" w:themeColor="text1"/>
            </w:tcBorders>
          </w:tcPr>
          <w:p w:rsidR="00C57491" w:rsidRPr="00D17757" w:rsidRDefault="00C57491" w:rsidP="00D27F84">
            <w:pPr>
              <w:jc w:val="center"/>
              <w:rPr>
                <w:sz w:val="16"/>
                <w:szCs w:val="16"/>
              </w:rPr>
            </w:pPr>
            <w:r w:rsidRPr="00D17757">
              <w:rPr>
                <w:sz w:val="16"/>
                <w:szCs w:val="16"/>
              </w:rPr>
              <w:t>$ 8,159,494 USD</w:t>
            </w:r>
          </w:p>
        </w:tc>
        <w:tc>
          <w:tcPr>
            <w:tcW w:w="1170" w:type="dxa"/>
            <w:tcBorders>
              <w:bottom w:val="single" w:sz="4" w:space="0" w:color="000000" w:themeColor="text1"/>
            </w:tcBorders>
          </w:tcPr>
          <w:p w:rsidR="00C57491" w:rsidRPr="00D17757" w:rsidRDefault="00C57491" w:rsidP="00D27F84">
            <w:pPr>
              <w:jc w:val="center"/>
              <w:rPr>
                <w:sz w:val="16"/>
                <w:szCs w:val="16"/>
              </w:rPr>
            </w:pPr>
            <w:r w:rsidRPr="00D17757">
              <w:rPr>
                <w:sz w:val="16"/>
                <w:szCs w:val="16"/>
              </w:rPr>
              <w:t>$14,388,509 USD</w:t>
            </w:r>
          </w:p>
        </w:tc>
      </w:tr>
      <w:tr w:rsidR="00C57491" w:rsidRPr="00D17757" w:rsidTr="00D27F84">
        <w:trPr>
          <w:trHeight w:val="400"/>
        </w:trPr>
        <w:tc>
          <w:tcPr>
            <w:tcW w:w="1421" w:type="dxa"/>
            <w:tcBorders>
              <w:top w:val="nil"/>
              <w:bottom w:val="nil"/>
            </w:tcBorders>
          </w:tcPr>
          <w:p w:rsidR="00C57491" w:rsidRPr="00D17757" w:rsidRDefault="00C57491" w:rsidP="00D27F84">
            <w:pPr>
              <w:rPr>
                <w:b/>
                <w:sz w:val="16"/>
                <w:szCs w:val="16"/>
              </w:rPr>
            </w:pPr>
          </w:p>
        </w:tc>
        <w:tc>
          <w:tcPr>
            <w:tcW w:w="1080" w:type="dxa"/>
            <w:shd w:val="clear" w:color="auto" w:fill="DAEEF3" w:themeFill="accent5" w:themeFillTint="33"/>
          </w:tcPr>
          <w:p w:rsidR="00C57491" w:rsidRPr="00D17757" w:rsidRDefault="00C57491" w:rsidP="00D27F84">
            <w:pPr>
              <w:jc w:val="center"/>
              <w:rPr>
                <w:sz w:val="16"/>
                <w:szCs w:val="16"/>
              </w:rPr>
            </w:pPr>
          </w:p>
        </w:tc>
        <w:tc>
          <w:tcPr>
            <w:tcW w:w="1170" w:type="dxa"/>
            <w:shd w:val="clear" w:color="auto" w:fill="DAEEF3" w:themeFill="accent5" w:themeFillTint="33"/>
          </w:tcPr>
          <w:p w:rsidR="00C57491" w:rsidRPr="00D17757" w:rsidRDefault="00C57491" w:rsidP="00D27F84">
            <w:pPr>
              <w:jc w:val="center"/>
              <w:rPr>
                <w:sz w:val="16"/>
                <w:szCs w:val="16"/>
              </w:rPr>
            </w:pPr>
          </w:p>
        </w:tc>
        <w:tc>
          <w:tcPr>
            <w:tcW w:w="1260" w:type="dxa"/>
            <w:shd w:val="clear" w:color="auto" w:fill="DAEEF3" w:themeFill="accent5" w:themeFillTint="33"/>
          </w:tcPr>
          <w:p w:rsidR="00C57491" w:rsidRPr="00D17757" w:rsidRDefault="00C57491" w:rsidP="00D27F84">
            <w:pPr>
              <w:jc w:val="center"/>
              <w:rPr>
                <w:sz w:val="16"/>
                <w:szCs w:val="16"/>
              </w:rPr>
            </w:pPr>
          </w:p>
        </w:tc>
        <w:tc>
          <w:tcPr>
            <w:tcW w:w="1080" w:type="dxa"/>
            <w:shd w:val="clear" w:color="auto" w:fill="DAEEF3" w:themeFill="accent5" w:themeFillTint="33"/>
          </w:tcPr>
          <w:p w:rsidR="00C57491" w:rsidRPr="00D17757" w:rsidRDefault="00C57491" w:rsidP="00D27F84">
            <w:pPr>
              <w:jc w:val="center"/>
              <w:rPr>
                <w:sz w:val="16"/>
                <w:szCs w:val="16"/>
              </w:rPr>
            </w:pPr>
          </w:p>
        </w:tc>
        <w:tc>
          <w:tcPr>
            <w:tcW w:w="1170" w:type="dxa"/>
            <w:shd w:val="clear" w:color="auto" w:fill="DAEEF3" w:themeFill="accent5" w:themeFillTint="33"/>
          </w:tcPr>
          <w:p w:rsidR="00C57491" w:rsidRPr="00D17757" w:rsidRDefault="00C57491" w:rsidP="00D27F84">
            <w:pPr>
              <w:jc w:val="center"/>
              <w:rPr>
                <w:sz w:val="16"/>
                <w:szCs w:val="16"/>
              </w:rPr>
            </w:pPr>
          </w:p>
        </w:tc>
        <w:tc>
          <w:tcPr>
            <w:tcW w:w="1170" w:type="dxa"/>
            <w:shd w:val="clear" w:color="auto" w:fill="DAEEF3" w:themeFill="accent5" w:themeFillTint="33"/>
          </w:tcPr>
          <w:p w:rsidR="00C57491" w:rsidRPr="00D17757" w:rsidRDefault="00C57491" w:rsidP="00D27F84">
            <w:pPr>
              <w:jc w:val="center"/>
              <w:rPr>
                <w:sz w:val="16"/>
                <w:szCs w:val="16"/>
              </w:rPr>
            </w:pPr>
          </w:p>
        </w:tc>
        <w:tc>
          <w:tcPr>
            <w:tcW w:w="1260" w:type="dxa"/>
            <w:shd w:val="clear" w:color="auto" w:fill="DAEEF3" w:themeFill="accent5" w:themeFillTint="33"/>
          </w:tcPr>
          <w:p w:rsidR="00C57491" w:rsidRPr="00D17757" w:rsidRDefault="00C57491" w:rsidP="00D27F84">
            <w:pPr>
              <w:jc w:val="center"/>
              <w:rPr>
                <w:sz w:val="16"/>
                <w:szCs w:val="16"/>
              </w:rPr>
            </w:pPr>
          </w:p>
        </w:tc>
        <w:tc>
          <w:tcPr>
            <w:tcW w:w="1260" w:type="dxa"/>
            <w:shd w:val="clear" w:color="auto" w:fill="DAEEF3" w:themeFill="accent5" w:themeFillTint="33"/>
          </w:tcPr>
          <w:p w:rsidR="00C57491" w:rsidRPr="00D17757" w:rsidRDefault="00C57491" w:rsidP="00D27F84">
            <w:pPr>
              <w:jc w:val="center"/>
              <w:rPr>
                <w:sz w:val="16"/>
                <w:szCs w:val="16"/>
              </w:rPr>
            </w:pPr>
          </w:p>
        </w:tc>
        <w:tc>
          <w:tcPr>
            <w:tcW w:w="1170" w:type="dxa"/>
            <w:shd w:val="clear" w:color="auto" w:fill="DAEEF3" w:themeFill="accent5" w:themeFillTint="33"/>
          </w:tcPr>
          <w:p w:rsidR="00C57491" w:rsidRPr="00D17757" w:rsidRDefault="00C57491" w:rsidP="00D27F84">
            <w:pPr>
              <w:jc w:val="center"/>
              <w:rPr>
                <w:sz w:val="16"/>
                <w:szCs w:val="16"/>
              </w:rPr>
            </w:pPr>
          </w:p>
        </w:tc>
        <w:tc>
          <w:tcPr>
            <w:tcW w:w="1170" w:type="dxa"/>
            <w:shd w:val="clear" w:color="auto" w:fill="DAEEF3" w:themeFill="accent5" w:themeFillTint="33"/>
          </w:tcPr>
          <w:p w:rsidR="00C57491" w:rsidRPr="00D17757" w:rsidRDefault="00C57491" w:rsidP="00D27F84">
            <w:pPr>
              <w:jc w:val="center"/>
              <w:rPr>
                <w:sz w:val="16"/>
                <w:szCs w:val="16"/>
              </w:rPr>
            </w:pPr>
            <w:r w:rsidRPr="00D17757">
              <w:rPr>
                <w:sz w:val="16"/>
                <w:szCs w:val="16"/>
              </w:rPr>
              <w:t>$ 8,698,137 CAD</w:t>
            </w:r>
          </w:p>
        </w:tc>
        <w:tc>
          <w:tcPr>
            <w:tcW w:w="1170" w:type="dxa"/>
            <w:shd w:val="clear" w:color="auto" w:fill="DAEEF3" w:themeFill="accent5" w:themeFillTint="33"/>
          </w:tcPr>
          <w:p w:rsidR="00C57491" w:rsidRPr="00D17757" w:rsidRDefault="00C57491" w:rsidP="00D27F84">
            <w:pPr>
              <w:jc w:val="center"/>
              <w:rPr>
                <w:sz w:val="16"/>
                <w:szCs w:val="16"/>
              </w:rPr>
            </w:pPr>
            <w:r w:rsidRPr="00D17757">
              <w:rPr>
                <w:sz w:val="16"/>
                <w:szCs w:val="16"/>
              </w:rPr>
              <w:t>$16,431,351 CAD</w:t>
            </w:r>
          </w:p>
        </w:tc>
      </w:tr>
      <w:tr w:rsidR="00C57491" w:rsidRPr="00D17757" w:rsidTr="00D27F84">
        <w:trPr>
          <w:trHeight w:val="200"/>
        </w:trPr>
        <w:tc>
          <w:tcPr>
            <w:tcW w:w="1421" w:type="dxa"/>
            <w:vMerge w:val="restart"/>
          </w:tcPr>
          <w:p w:rsidR="00C57491" w:rsidRPr="00D17757" w:rsidRDefault="00C57491" w:rsidP="00D27F84">
            <w:pPr>
              <w:rPr>
                <w:b/>
                <w:sz w:val="16"/>
                <w:szCs w:val="16"/>
                <w:vertAlign w:val="superscript"/>
              </w:rPr>
            </w:pPr>
            <w:r w:rsidRPr="00D17757">
              <w:rPr>
                <w:b/>
                <w:sz w:val="16"/>
                <w:szCs w:val="16"/>
              </w:rPr>
              <w:t>New Brunswick</w:t>
            </w:r>
            <w:r w:rsidRPr="00D17757">
              <w:rPr>
                <w:b/>
                <w:sz w:val="16"/>
                <w:szCs w:val="16"/>
                <w:vertAlign w:val="superscript"/>
              </w:rPr>
              <w:t>2</w:t>
            </w:r>
          </w:p>
        </w:tc>
        <w:tc>
          <w:tcPr>
            <w:tcW w:w="1080" w:type="dxa"/>
            <w:tcBorders>
              <w:bottom w:val="single" w:sz="4" w:space="0" w:color="000000" w:themeColor="text1"/>
            </w:tcBorders>
          </w:tcPr>
          <w:p w:rsidR="00C57491" w:rsidRPr="00D17757" w:rsidRDefault="00C57491" w:rsidP="00D27F84">
            <w:pPr>
              <w:jc w:val="center"/>
              <w:rPr>
                <w:sz w:val="16"/>
                <w:szCs w:val="16"/>
              </w:rPr>
            </w:pPr>
            <w:r w:rsidRPr="00D17757">
              <w:rPr>
                <w:sz w:val="16"/>
                <w:szCs w:val="16"/>
              </w:rPr>
              <w:t>$94,222,781 USD</w:t>
            </w:r>
          </w:p>
        </w:tc>
        <w:tc>
          <w:tcPr>
            <w:tcW w:w="1170" w:type="dxa"/>
            <w:tcBorders>
              <w:bottom w:val="single" w:sz="4" w:space="0" w:color="000000" w:themeColor="text1"/>
            </w:tcBorders>
          </w:tcPr>
          <w:p w:rsidR="00C57491" w:rsidRPr="00D17757" w:rsidRDefault="00C57491" w:rsidP="00D27F84">
            <w:pPr>
              <w:jc w:val="center"/>
              <w:rPr>
                <w:sz w:val="16"/>
                <w:szCs w:val="16"/>
              </w:rPr>
            </w:pPr>
            <w:r w:rsidRPr="00D17757">
              <w:rPr>
                <w:sz w:val="16"/>
                <w:szCs w:val="16"/>
              </w:rPr>
              <w:t>$150,147,886 USD</w:t>
            </w:r>
          </w:p>
        </w:tc>
        <w:tc>
          <w:tcPr>
            <w:tcW w:w="1260" w:type="dxa"/>
            <w:tcBorders>
              <w:bottom w:val="single" w:sz="4" w:space="0" w:color="000000" w:themeColor="text1"/>
            </w:tcBorders>
          </w:tcPr>
          <w:p w:rsidR="00C57491" w:rsidRPr="00D17757" w:rsidRDefault="00C57491" w:rsidP="00D27F84">
            <w:pPr>
              <w:jc w:val="center"/>
              <w:rPr>
                <w:sz w:val="16"/>
                <w:szCs w:val="16"/>
              </w:rPr>
            </w:pPr>
            <w:r w:rsidRPr="00D17757">
              <w:rPr>
                <w:sz w:val="16"/>
                <w:szCs w:val="16"/>
              </w:rPr>
              <w:t>$161,455,285 USD</w:t>
            </w:r>
          </w:p>
        </w:tc>
        <w:tc>
          <w:tcPr>
            <w:tcW w:w="1080" w:type="dxa"/>
            <w:tcBorders>
              <w:bottom w:val="single" w:sz="4" w:space="0" w:color="000000" w:themeColor="text1"/>
            </w:tcBorders>
          </w:tcPr>
          <w:p w:rsidR="00C57491" w:rsidRPr="00D17757" w:rsidRDefault="00C57491" w:rsidP="00D27F84">
            <w:pPr>
              <w:jc w:val="center"/>
              <w:rPr>
                <w:sz w:val="16"/>
                <w:szCs w:val="16"/>
              </w:rPr>
            </w:pPr>
            <w:r w:rsidRPr="00D17757">
              <w:rPr>
                <w:sz w:val="16"/>
                <w:szCs w:val="16"/>
              </w:rPr>
              <w:t>$171,935,124 USD</w:t>
            </w:r>
          </w:p>
        </w:tc>
        <w:tc>
          <w:tcPr>
            <w:tcW w:w="1170" w:type="dxa"/>
            <w:tcBorders>
              <w:bottom w:val="single" w:sz="4" w:space="0" w:color="000000" w:themeColor="text1"/>
            </w:tcBorders>
          </w:tcPr>
          <w:p w:rsidR="00C57491" w:rsidRPr="00D17757" w:rsidRDefault="00C57491" w:rsidP="00D27F84">
            <w:pPr>
              <w:jc w:val="center"/>
              <w:rPr>
                <w:sz w:val="16"/>
                <w:szCs w:val="16"/>
              </w:rPr>
            </w:pPr>
            <w:r w:rsidRPr="00D17757">
              <w:rPr>
                <w:sz w:val="16"/>
                <w:szCs w:val="16"/>
              </w:rPr>
              <w:t>$151,270,629 USD</w:t>
            </w:r>
          </w:p>
        </w:tc>
        <w:tc>
          <w:tcPr>
            <w:tcW w:w="1170" w:type="dxa"/>
            <w:tcBorders>
              <w:bottom w:val="single" w:sz="4" w:space="0" w:color="000000" w:themeColor="text1"/>
            </w:tcBorders>
          </w:tcPr>
          <w:p w:rsidR="00C57491" w:rsidRPr="00D17757" w:rsidRDefault="00C57491" w:rsidP="00D27F84">
            <w:pPr>
              <w:jc w:val="center"/>
              <w:rPr>
                <w:sz w:val="16"/>
                <w:szCs w:val="16"/>
              </w:rPr>
            </w:pPr>
            <w:r w:rsidRPr="00D17757">
              <w:rPr>
                <w:sz w:val="16"/>
                <w:szCs w:val="16"/>
              </w:rPr>
              <w:t>$153,820,120 USD</w:t>
            </w:r>
          </w:p>
        </w:tc>
        <w:tc>
          <w:tcPr>
            <w:tcW w:w="1260" w:type="dxa"/>
            <w:tcBorders>
              <w:bottom w:val="single" w:sz="4" w:space="0" w:color="000000" w:themeColor="text1"/>
            </w:tcBorders>
          </w:tcPr>
          <w:p w:rsidR="00C57491" w:rsidRPr="00D17757" w:rsidRDefault="00C57491" w:rsidP="00D27F84">
            <w:pPr>
              <w:jc w:val="center"/>
              <w:rPr>
                <w:sz w:val="16"/>
                <w:szCs w:val="16"/>
              </w:rPr>
            </w:pPr>
            <w:r w:rsidRPr="00D17757">
              <w:rPr>
                <w:sz w:val="16"/>
                <w:szCs w:val="16"/>
              </w:rPr>
              <w:t>$185,699,887 USD</w:t>
            </w:r>
          </w:p>
        </w:tc>
        <w:tc>
          <w:tcPr>
            <w:tcW w:w="1260" w:type="dxa"/>
            <w:tcBorders>
              <w:bottom w:val="single" w:sz="4" w:space="0" w:color="000000" w:themeColor="text1"/>
            </w:tcBorders>
          </w:tcPr>
          <w:p w:rsidR="00C57491" w:rsidRPr="00D17757" w:rsidRDefault="00C57491" w:rsidP="00D27F84">
            <w:pPr>
              <w:jc w:val="center"/>
              <w:rPr>
                <w:sz w:val="16"/>
                <w:szCs w:val="16"/>
              </w:rPr>
            </w:pPr>
            <w:r w:rsidRPr="00D17757">
              <w:rPr>
                <w:sz w:val="16"/>
                <w:szCs w:val="16"/>
              </w:rPr>
              <w:t>$251,302,008 USD</w:t>
            </w:r>
          </w:p>
        </w:tc>
        <w:tc>
          <w:tcPr>
            <w:tcW w:w="1170" w:type="dxa"/>
            <w:tcBorders>
              <w:bottom w:val="single" w:sz="4" w:space="0" w:color="000000" w:themeColor="text1"/>
            </w:tcBorders>
          </w:tcPr>
          <w:p w:rsidR="00C57491" w:rsidRPr="00D17757" w:rsidRDefault="00C57491" w:rsidP="00D27F84">
            <w:pPr>
              <w:jc w:val="center"/>
              <w:rPr>
                <w:sz w:val="16"/>
                <w:szCs w:val="16"/>
              </w:rPr>
            </w:pPr>
            <w:r w:rsidRPr="00D17757">
              <w:rPr>
                <w:sz w:val="16"/>
                <w:szCs w:val="16"/>
              </w:rPr>
              <w:t>$196,319,015 USD</w:t>
            </w:r>
          </w:p>
        </w:tc>
        <w:tc>
          <w:tcPr>
            <w:tcW w:w="1170" w:type="dxa"/>
            <w:tcBorders>
              <w:bottom w:val="single" w:sz="4" w:space="0" w:color="000000" w:themeColor="text1"/>
            </w:tcBorders>
          </w:tcPr>
          <w:p w:rsidR="00C57491" w:rsidRPr="00D17757" w:rsidRDefault="00C57491" w:rsidP="00D27F84">
            <w:pPr>
              <w:jc w:val="center"/>
              <w:rPr>
                <w:sz w:val="16"/>
                <w:szCs w:val="16"/>
              </w:rPr>
            </w:pPr>
            <w:r w:rsidRPr="00D17757">
              <w:rPr>
                <w:sz w:val="16"/>
                <w:szCs w:val="16"/>
              </w:rPr>
              <w:t>$158,534,460 USD</w:t>
            </w:r>
          </w:p>
        </w:tc>
        <w:tc>
          <w:tcPr>
            <w:tcW w:w="1170" w:type="dxa"/>
            <w:tcBorders>
              <w:bottom w:val="single" w:sz="4" w:space="0" w:color="000000" w:themeColor="text1"/>
            </w:tcBorders>
          </w:tcPr>
          <w:p w:rsidR="00C57491" w:rsidRPr="00D17757" w:rsidRDefault="00C57491" w:rsidP="00D27F84">
            <w:pPr>
              <w:jc w:val="center"/>
              <w:rPr>
                <w:sz w:val="16"/>
                <w:szCs w:val="16"/>
              </w:rPr>
            </w:pPr>
            <w:r w:rsidRPr="00D17757">
              <w:rPr>
                <w:sz w:val="16"/>
                <w:szCs w:val="16"/>
              </w:rPr>
              <w:t>$169,005,112 USD</w:t>
            </w:r>
          </w:p>
        </w:tc>
      </w:tr>
      <w:tr w:rsidR="00C57491" w:rsidRPr="00D17757" w:rsidTr="00D27F84">
        <w:trPr>
          <w:trHeight w:val="148"/>
        </w:trPr>
        <w:tc>
          <w:tcPr>
            <w:tcW w:w="1421" w:type="dxa"/>
            <w:vMerge/>
          </w:tcPr>
          <w:p w:rsidR="00C57491" w:rsidRPr="00D17757" w:rsidRDefault="00C57491" w:rsidP="00D27F84">
            <w:pPr>
              <w:rPr>
                <w:b/>
                <w:sz w:val="16"/>
                <w:szCs w:val="16"/>
              </w:rPr>
            </w:pPr>
          </w:p>
        </w:tc>
        <w:tc>
          <w:tcPr>
            <w:tcW w:w="1080" w:type="dxa"/>
            <w:shd w:val="clear" w:color="auto" w:fill="DAEEF3" w:themeFill="accent5" w:themeFillTint="33"/>
          </w:tcPr>
          <w:p w:rsidR="00C57491" w:rsidRPr="00D17757" w:rsidRDefault="00C57491" w:rsidP="00D27F84">
            <w:pPr>
              <w:jc w:val="center"/>
              <w:rPr>
                <w:sz w:val="16"/>
                <w:szCs w:val="16"/>
              </w:rPr>
            </w:pPr>
            <w:r w:rsidRPr="00D17757">
              <w:rPr>
                <w:sz w:val="16"/>
                <w:szCs w:val="16"/>
              </w:rPr>
              <w:t>$140,000,000 CAD</w:t>
            </w:r>
          </w:p>
        </w:tc>
        <w:tc>
          <w:tcPr>
            <w:tcW w:w="1170" w:type="dxa"/>
            <w:shd w:val="clear" w:color="auto" w:fill="DAEEF3" w:themeFill="accent5" w:themeFillTint="33"/>
          </w:tcPr>
          <w:p w:rsidR="00C57491" w:rsidRPr="00D17757" w:rsidRDefault="00C57491" w:rsidP="00D27F84">
            <w:pPr>
              <w:jc w:val="center"/>
              <w:rPr>
                <w:sz w:val="16"/>
                <w:szCs w:val="16"/>
              </w:rPr>
            </w:pPr>
            <w:r w:rsidRPr="00D17757">
              <w:rPr>
                <w:sz w:val="16"/>
                <w:szCs w:val="16"/>
              </w:rPr>
              <w:t>$223,000,000 CAD</w:t>
            </w:r>
          </w:p>
        </w:tc>
        <w:tc>
          <w:tcPr>
            <w:tcW w:w="1260" w:type="dxa"/>
            <w:shd w:val="clear" w:color="auto" w:fill="DAEEF3" w:themeFill="accent5" w:themeFillTint="33"/>
          </w:tcPr>
          <w:p w:rsidR="00C57491" w:rsidRPr="00D17757" w:rsidRDefault="00C57491" w:rsidP="00D27F84">
            <w:pPr>
              <w:jc w:val="center"/>
              <w:rPr>
                <w:sz w:val="16"/>
                <w:szCs w:val="16"/>
              </w:rPr>
            </w:pPr>
            <w:r w:rsidRPr="00D17757">
              <w:rPr>
                <w:sz w:val="16"/>
                <w:szCs w:val="16"/>
              </w:rPr>
              <w:t>$250,000,000 CAD</w:t>
            </w:r>
          </w:p>
        </w:tc>
        <w:tc>
          <w:tcPr>
            <w:tcW w:w="1080" w:type="dxa"/>
            <w:shd w:val="clear" w:color="auto" w:fill="DAEEF3" w:themeFill="accent5" w:themeFillTint="33"/>
          </w:tcPr>
          <w:p w:rsidR="00C57491" w:rsidRPr="00D17757" w:rsidRDefault="00C57491" w:rsidP="00D27F84">
            <w:pPr>
              <w:jc w:val="center"/>
              <w:rPr>
                <w:sz w:val="16"/>
                <w:szCs w:val="16"/>
              </w:rPr>
            </w:pPr>
            <w:r w:rsidRPr="00D17757">
              <w:rPr>
                <w:sz w:val="16"/>
                <w:szCs w:val="16"/>
              </w:rPr>
              <w:t>$270,000,000 CAD</w:t>
            </w:r>
          </w:p>
        </w:tc>
        <w:tc>
          <w:tcPr>
            <w:tcW w:w="1170" w:type="dxa"/>
            <w:shd w:val="clear" w:color="auto" w:fill="DAEEF3" w:themeFill="accent5" w:themeFillTint="33"/>
          </w:tcPr>
          <w:p w:rsidR="00C57491" w:rsidRPr="00D17757" w:rsidRDefault="00C57491" w:rsidP="00D27F84">
            <w:pPr>
              <w:jc w:val="center"/>
              <w:rPr>
                <w:sz w:val="16"/>
                <w:szCs w:val="16"/>
              </w:rPr>
            </w:pPr>
            <w:r w:rsidRPr="00D17757">
              <w:rPr>
                <w:sz w:val="16"/>
                <w:szCs w:val="16"/>
              </w:rPr>
              <w:t>$212,000,000 CAD</w:t>
            </w:r>
          </w:p>
        </w:tc>
        <w:tc>
          <w:tcPr>
            <w:tcW w:w="1170" w:type="dxa"/>
            <w:shd w:val="clear" w:color="auto" w:fill="DAEEF3" w:themeFill="accent5" w:themeFillTint="33"/>
          </w:tcPr>
          <w:p w:rsidR="00C57491" w:rsidRPr="00D17757" w:rsidRDefault="00C57491" w:rsidP="00D27F84">
            <w:pPr>
              <w:jc w:val="center"/>
              <w:rPr>
                <w:sz w:val="16"/>
                <w:szCs w:val="16"/>
              </w:rPr>
            </w:pPr>
            <w:r w:rsidRPr="00D17757">
              <w:rPr>
                <w:sz w:val="16"/>
                <w:szCs w:val="16"/>
              </w:rPr>
              <w:t>$200,200,000 CAD</w:t>
            </w:r>
          </w:p>
        </w:tc>
        <w:tc>
          <w:tcPr>
            <w:tcW w:w="1260" w:type="dxa"/>
            <w:shd w:val="clear" w:color="auto" w:fill="DAEEF3" w:themeFill="accent5" w:themeFillTint="33"/>
          </w:tcPr>
          <w:p w:rsidR="00C57491" w:rsidRPr="00D17757" w:rsidRDefault="00C57491" w:rsidP="00D27F84">
            <w:pPr>
              <w:jc w:val="center"/>
              <w:rPr>
                <w:sz w:val="16"/>
                <w:szCs w:val="16"/>
              </w:rPr>
            </w:pPr>
            <w:r w:rsidRPr="00D17757">
              <w:rPr>
                <w:sz w:val="16"/>
                <w:szCs w:val="16"/>
              </w:rPr>
              <w:t>$225,000,000 CAD</w:t>
            </w:r>
          </w:p>
        </w:tc>
        <w:tc>
          <w:tcPr>
            <w:tcW w:w="1260" w:type="dxa"/>
            <w:shd w:val="clear" w:color="auto" w:fill="DAEEF3" w:themeFill="accent5" w:themeFillTint="33"/>
          </w:tcPr>
          <w:p w:rsidR="00C57491" w:rsidRPr="00D17757" w:rsidRDefault="00C57491" w:rsidP="00D27F84">
            <w:pPr>
              <w:jc w:val="center"/>
              <w:rPr>
                <w:sz w:val="16"/>
                <w:szCs w:val="16"/>
              </w:rPr>
            </w:pPr>
            <w:r w:rsidRPr="00D17757">
              <w:rPr>
                <w:sz w:val="16"/>
                <w:szCs w:val="16"/>
              </w:rPr>
              <w:t>$285,000,000 CAD</w:t>
            </w:r>
          </w:p>
        </w:tc>
        <w:tc>
          <w:tcPr>
            <w:tcW w:w="1170" w:type="dxa"/>
            <w:shd w:val="clear" w:color="auto" w:fill="DAEEF3" w:themeFill="accent5" w:themeFillTint="33"/>
          </w:tcPr>
          <w:p w:rsidR="00C57491" w:rsidRPr="00D17757" w:rsidRDefault="00C57491" w:rsidP="00D27F84">
            <w:pPr>
              <w:jc w:val="center"/>
              <w:rPr>
                <w:sz w:val="16"/>
                <w:szCs w:val="16"/>
              </w:rPr>
            </w:pPr>
            <w:r w:rsidRPr="00D17757">
              <w:rPr>
                <w:sz w:val="16"/>
                <w:szCs w:val="16"/>
              </w:rPr>
              <w:t>$211,000,000 CAD</w:t>
            </w:r>
          </w:p>
        </w:tc>
        <w:tc>
          <w:tcPr>
            <w:tcW w:w="1170" w:type="dxa"/>
            <w:shd w:val="clear" w:color="auto" w:fill="DAEEF3" w:themeFill="accent5" w:themeFillTint="33"/>
          </w:tcPr>
          <w:p w:rsidR="00C57491" w:rsidRPr="00D17757" w:rsidRDefault="00C57491" w:rsidP="00D27F84">
            <w:pPr>
              <w:jc w:val="center"/>
              <w:rPr>
                <w:sz w:val="16"/>
                <w:szCs w:val="16"/>
              </w:rPr>
            </w:pPr>
            <w:r w:rsidRPr="00D17757">
              <w:rPr>
                <w:sz w:val="16"/>
                <w:szCs w:val="16"/>
              </w:rPr>
              <w:t>$169,000,000 CAD</w:t>
            </w:r>
          </w:p>
        </w:tc>
        <w:tc>
          <w:tcPr>
            <w:tcW w:w="1170" w:type="dxa"/>
            <w:shd w:val="clear" w:color="auto" w:fill="DAEEF3" w:themeFill="accent5" w:themeFillTint="33"/>
          </w:tcPr>
          <w:p w:rsidR="00C57491" w:rsidRPr="00D17757" w:rsidRDefault="00C57491" w:rsidP="00D27F84">
            <w:pPr>
              <w:jc w:val="center"/>
              <w:rPr>
                <w:sz w:val="16"/>
                <w:szCs w:val="16"/>
              </w:rPr>
            </w:pPr>
            <w:r w:rsidRPr="00D17757">
              <w:rPr>
                <w:sz w:val="16"/>
                <w:szCs w:val="16"/>
              </w:rPr>
              <w:t>$193,000,000 CAD</w:t>
            </w:r>
          </w:p>
        </w:tc>
      </w:tr>
      <w:tr w:rsidR="00C57491" w:rsidRPr="00D17757" w:rsidTr="00D27F84">
        <w:trPr>
          <w:trHeight w:val="185"/>
        </w:trPr>
        <w:tc>
          <w:tcPr>
            <w:tcW w:w="1421" w:type="dxa"/>
            <w:vMerge w:val="restart"/>
          </w:tcPr>
          <w:p w:rsidR="00C57491" w:rsidRPr="00D17757" w:rsidRDefault="00C57491" w:rsidP="00D27F84">
            <w:pPr>
              <w:rPr>
                <w:b/>
                <w:sz w:val="16"/>
                <w:szCs w:val="16"/>
                <w:vertAlign w:val="superscript"/>
              </w:rPr>
            </w:pPr>
            <w:r w:rsidRPr="00D17757">
              <w:rPr>
                <w:b/>
                <w:sz w:val="16"/>
                <w:szCs w:val="16"/>
              </w:rPr>
              <w:t>Maine</w:t>
            </w:r>
            <w:r w:rsidRPr="00D17757">
              <w:rPr>
                <w:b/>
                <w:sz w:val="16"/>
                <w:szCs w:val="16"/>
                <w:vertAlign w:val="superscript"/>
              </w:rPr>
              <w:t>3</w:t>
            </w:r>
          </w:p>
        </w:tc>
        <w:tc>
          <w:tcPr>
            <w:tcW w:w="1080" w:type="dxa"/>
            <w:tcBorders>
              <w:bottom w:val="single" w:sz="4" w:space="0" w:color="000000" w:themeColor="text1"/>
            </w:tcBorders>
          </w:tcPr>
          <w:p w:rsidR="00C57491" w:rsidRPr="00D17757" w:rsidRDefault="00C57491" w:rsidP="00D27F84">
            <w:pPr>
              <w:jc w:val="center"/>
              <w:rPr>
                <w:sz w:val="16"/>
                <w:szCs w:val="16"/>
              </w:rPr>
            </w:pPr>
            <w:r w:rsidRPr="00D17757">
              <w:rPr>
                <w:sz w:val="16"/>
                <w:szCs w:val="16"/>
              </w:rPr>
              <w:t>$67,496,007 USD</w:t>
            </w:r>
          </w:p>
        </w:tc>
        <w:tc>
          <w:tcPr>
            <w:tcW w:w="1170" w:type="dxa"/>
            <w:tcBorders>
              <w:bottom w:val="single" w:sz="4" w:space="0" w:color="000000" w:themeColor="text1"/>
            </w:tcBorders>
          </w:tcPr>
          <w:p w:rsidR="00C57491" w:rsidRPr="00D17757" w:rsidRDefault="00C57491" w:rsidP="00D27F84">
            <w:pPr>
              <w:jc w:val="center"/>
              <w:rPr>
                <w:sz w:val="16"/>
                <w:szCs w:val="16"/>
              </w:rPr>
            </w:pPr>
            <w:r w:rsidRPr="00D17757">
              <w:rPr>
                <w:sz w:val="16"/>
                <w:szCs w:val="16"/>
              </w:rPr>
              <w:t>$90,725,385 USD</w:t>
            </w:r>
          </w:p>
        </w:tc>
        <w:tc>
          <w:tcPr>
            <w:tcW w:w="1260" w:type="dxa"/>
            <w:tcBorders>
              <w:bottom w:val="single" w:sz="4" w:space="0" w:color="000000" w:themeColor="text1"/>
            </w:tcBorders>
          </w:tcPr>
          <w:p w:rsidR="00C57491" w:rsidRPr="00D17757" w:rsidRDefault="00C57491" w:rsidP="00D27F84">
            <w:pPr>
              <w:jc w:val="center"/>
              <w:rPr>
                <w:sz w:val="16"/>
                <w:szCs w:val="16"/>
              </w:rPr>
            </w:pPr>
            <w:r w:rsidRPr="00D17757">
              <w:rPr>
                <w:sz w:val="16"/>
                <w:szCs w:val="16"/>
              </w:rPr>
              <w:t>$72,763,840 USD</w:t>
            </w:r>
          </w:p>
        </w:tc>
        <w:tc>
          <w:tcPr>
            <w:tcW w:w="1080" w:type="dxa"/>
            <w:tcBorders>
              <w:bottom w:val="single" w:sz="4" w:space="0" w:color="000000" w:themeColor="text1"/>
            </w:tcBorders>
          </w:tcPr>
          <w:p w:rsidR="00C57491" w:rsidRPr="00D17757" w:rsidRDefault="00C57491" w:rsidP="00D27F84">
            <w:pPr>
              <w:jc w:val="center"/>
              <w:rPr>
                <w:sz w:val="16"/>
                <w:szCs w:val="16"/>
              </w:rPr>
            </w:pPr>
            <w:r w:rsidRPr="00D17757">
              <w:rPr>
                <w:sz w:val="16"/>
                <w:szCs w:val="16"/>
              </w:rPr>
              <w:t>$37,469,592 USD</w:t>
            </w:r>
          </w:p>
        </w:tc>
        <w:tc>
          <w:tcPr>
            <w:tcW w:w="1170" w:type="dxa"/>
            <w:tcBorders>
              <w:bottom w:val="single" w:sz="4" w:space="0" w:color="000000" w:themeColor="text1"/>
            </w:tcBorders>
          </w:tcPr>
          <w:p w:rsidR="00C57491" w:rsidRPr="00D17757" w:rsidRDefault="00C57491" w:rsidP="00D27F84">
            <w:pPr>
              <w:jc w:val="center"/>
              <w:rPr>
                <w:sz w:val="16"/>
                <w:szCs w:val="16"/>
              </w:rPr>
            </w:pPr>
            <w:r w:rsidRPr="00D17757">
              <w:rPr>
                <w:sz w:val="16"/>
                <w:szCs w:val="16"/>
              </w:rPr>
              <w:t>$33,108,547 USD</w:t>
            </w:r>
          </w:p>
        </w:tc>
        <w:tc>
          <w:tcPr>
            <w:tcW w:w="1170" w:type="dxa"/>
            <w:tcBorders>
              <w:bottom w:val="single" w:sz="4" w:space="0" w:color="000000" w:themeColor="text1"/>
            </w:tcBorders>
          </w:tcPr>
          <w:p w:rsidR="00C57491" w:rsidRPr="00D17757" w:rsidRDefault="00C57491" w:rsidP="00D27F84">
            <w:pPr>
              <w:jc w:val="center"/>
              <w:rPr>
                <w:sz w:val="16"/>
                <w:szCs w:val="16"/>
              </w:rPr>
            </w:pPr>
            <w:r w:rsidRPr="00D17757">
              <w:rPr>
                <w:sz w:val="16"/>
                <w:szCs w:val="16"/>
              </w:rPr>
              <w:t>$46, 932,595 USD</w:t>
            </w:r>
          </w:p>
        </w:tc>
        <w:tc>
          <w:tcPr>
            <w:tcW w:w="1260" w:type="dxa"/>
            <w:tcBorders>
              <w:bottom w:val="single" w:sz="4" w:space="0" w:color="000000" w:themeColor="text1"/>
            </w:tcBorders>
          </w:tcPr>
          <w:p w:rsidR="00C57491" w:rsidRPr="00D17757" w:rsidRDefault="00C57491" w:rsidP="00D27F84">
            <w:pPr>
              <w:jc w:val="center"/>
              <w:rPr>
                <w:sz w:val="16"/>
                <w:szCs w:val="16"/>
              </w:rPr>
            </w:pPr>
            <w:r w:rsidRPr="00D17757">
              <w:rPr>
                <w:sz w:val="16"/>
                <w:szCs w:val="16"/>
              </w:rPr>
              <w:t>$30,805,697 USD</w:t>
            </w:r>
          </w:p>
        </w:tc>
        <w:tc>
          <w:tcPr>
            <w:tcW w:w="1260" w:type="dxa"/>
            <w:tcBorders>
              <w:bottom w:val="single" w:sz="4" w:space="0" w:color="000000" w:themeColor="text1"/>
            </w:tcBorders>
          </w:tcPr>
          <w:p w:rsidR="00C57491" w:rsidRPr="00D17757" w:rsidRDefault="00C57491" w:rsidP="00D27F84">
            <w:pPr>
              <w:jc w:val="center"/>
              <w:rPr>
                <w:sz w:val="16"/>
                <w:szCs w:val="16"/>
              </w:rPr>
            </w:pPr>
            <w:r w:rsidRPr="00D17757">
              <w:rPr>
                <w:sz w:val="16"/>
                <w:szCs w:val="16"/>
              </w:rPr>
              <w:t>$28,126,057 USD</w:t>
            </w:r>
          </w:p>
        </w:tc>
        <w:tc>
          <w:tcPr>
            <w:tcW w:w="1170" w:type="dxa"/>
            <w:tcBorders>
              <w:bottom w:val="single" w:sz="4" w:space="0" w:color="000000" w:themeColor="text1"/>
            </w:tcBorders>
          </w:tcPr>
          <w:p w:rsidR="00C57491" w:rsidRPr="00D17757" w:rsidRDefault="00C57491" w:rsidP="00D27F84">
            <w:pPr>
              <w:jc w:val="center"/>
              <w:rPr>
                <w:sz w:val="16"/>
                <w:szCs w:val="16"/>
              </w:rPr>
            </w:pPr>
            <w:r w:rsidRPr="00D17757">
              <w:rPr>
                <w:sz w:val="16"/>
                <w:szCs w:val="16"/>
              </w:rPr>
              <w:t>$23,380,090 USD</w:t>
            </w:r>
          </w:p>
        </w:tc>
        <w:tc>
          <w:tcPr>
            <w:tcW w:w="1170" w:type="dxa"/>
            <w:tcBorders>
              <w:bottom w:val="single" w:sz="4" w:space="0" w:color="000000" w:themeColor="text1"/>
            </w:tcBorders>
          </w:tcPr>
          <w:p w:rsidR="00C57491" w:rsidRPr="00D17757" w:rsidRDefault="00C57491" w:rsidP="00D27F84">
            <w:pPr>
              <w:jc w:val="center"/>
              <w:rPr>
                <w:sz w:val="16"/>
                <w:szCs w:val="16"/>
              </w:rPr>
            </w:pPr>
            <w:r w:rsidRPr="00D17757">
              <w:rPr>
                <w:sz w:val="16"/>
                <w:szCs w:val="16"/>
              </w:rPr>
              <w:t>$52,348,904 USD</w:t>
            </w:r>
          </w:p>
        </w:tc>
        <w:tc>
          <w:tcPr>
            <w:tcW w:w="1170" w:type="dxa"/>
            <w:tcBorders>
              <w:bottom w:val="single" w:sz="4" w:space="0" w:color="000000" w:themeColor="text1"/>
            </w:tcBorders>
          </w:tcPr>
          <w:p w:rsidR="00C57491" w:rsidRPr="00D17757" w:rsidRDefault="00C57491" w:rsidP="00D27F84">
            <w:pPr>
              <w:jc w:val="center"/>
              <w:rPr>
                <w:sz w:val="16"/>
                <w:szCs w:val="16"/>
              </w:rPr>
            </w:pPr>
          </w:p>
        </w:tc>
      </w:tr>
      <w:tr w:rsidR="00C57491" w:rsidRPr="00D17757" w:rsidTr="00D27F84">
        <w:trPr>
          <w:trHeight w:val="148"/>
        </w:trPr>
        <w:tc>
          <w:tcPr>
            <w:tcW w:w="1421" w:type="dxa"/>
            <w:vMerge/>
          </w:tcPr>
          <w:p w:rsidR="00C57491" w:rsidRPr="00D17757" w:rsidRDefault="00C57491" w:rsidP="00D27F84">
            <w:pPr>
              <w:rPr>
                <w:b/>
                <w:sz w:val="16"/>
                <w:szCs w:val="16"/>
              </w:rPr>
            </w:pPr>
          </w:p>
        </w:tc>
        <w:tc>
          <w:tcPr>
            <w:tcW w:w="1080" w:type="dxa"/>
            <w:shd w:val="clear" w:color="auto" w:fill="DAEEF3" w:themeFill="accent5" w:themeFillTint="33"/>
          </w:tcPr>
          <w:p w:rsidR="00C57491" w:rsidRPr="00D17757" w:rsidRDefault="00C57491" w:rsidP="00D27F84">
            <w:pPr>
              <w:jc w:val="center"/>
              <w:rPr>
                <w:sz w:val="16"/>
                <w:szCs w:val="16"/>
              </w:rPr>
            </w:pPr>
            <w:r w:rsidRPr="00D17757">
              <w:rPr>
                <w:sz w:val="16"/>
                <w:szCs w:val="16"/>
              </w:rPr>
              <w:t>$100,288,283 CAD</w:t>
            </w:r>
          </w:p>
        </w:tc>
        <w:tc>
          <w:tcPr>
            <w:tcW w:w="1170" w:type="dxa"/>
            <w:shd w:val="clear" w:color="auto" w:fill="DAEEF3" w:themeFill="accent5" w:themeFillTint="33"/>
          </w:tcPr>
          <w:p w:rsidR="00C57491" w:rsidRPr="00D17757" w:rsidRDefault="00C57491" w:rsidP="00D27F84">
            <w:pPr>
              <w:jc w:val="center"/>
              <w:rPr>
                <w:sz w:val="16"/>
                <w:szCs w:val="16"/>
              </w:rPr>
            </w:pPr>
            <w:r w:rsidRPr="00D17757">
              <w:rPr>
                <w:sz w:val="16"/>
                <w:szCs w:val="16"/>
              </w:rPr>
              <w:t>$134,745,560</w:t>
            </w:r>
          </w:p>
          <w:p w:rsidR="00C57491" w:rsidRPr="00D17757" w:rsidRDefault="00C57491" w:rsidP="00D27F84">
            <w:pPr>
              <w:jc w:val="center"/>
              <w:rPr>
                <w:sz w:val="16"/>
                <w:szCs w:val="16"/>
              </w:rPr>
            </w:pPr>
            <w:r w:rsidRPr="00D17757">
              <w:rPr>
                <w:sz w:val="16"/>
                <w:szCs w:val="16"/>
              </w:rPr>
              <w:t>CAD</w:t>
            </w:r>
          </w:p>
        </w:tc>
        <w:tc>
          <w:tcPr>
            <w:tcW w:w="1260" w:type="dxa"/>
            <w:shd w:val="clear" w:color="auto" w:fill="DAEEF3" w:themeFill="accent5" w:themeFillTint="33"/>
          </w:tcPr>
          <w:p w:rsidR="00C57491" w:rsidRPr="00D17757" w:rsidRDefault="00C57491" w:rsidP="00D27F84">
            <w:pPr>
              <w:jc w:val="center"/>
              <w:rPr>
                <w:sz w:val="16"/>
                <w:szCs w:val="16"/>
              </w:rPr>
            </w:pPr>
            <w:r w:rsidRPr="00D17757">
              <w:rPr>
                <w:sz w:val="16"/>
                <w:szCs w:val="16"/>
              </w:rPr>
              <w:t>$112,668,718</w:t>
            </w:r>
          </w:p>
          <w:p w:rsidR="00C57491" w:rsidRPr="00D17757" w:rsidRDefault="00C57491" w:rsidP="00D27F84">
            <w:pPr>
              <w:jc w:val="center"/>
              <w:rPr>
                <w:sz w:val="16"/>
                <w:szCs w:val="16"/>
              </w:rPr>
            </w:pPr>
            <w:r w:rsidRPr="00D17757">
              <w:rPr>
                <w:sz w:val="16"/>
                <w:szCs w:val="16"/>
              </w:rPr>
              <w:t>CAD</w:t>
            </w:r>
          </w:p>
        </w:tc>
        <w:tc>
          <w:tcPr>
            <w:tcW w:w="1080" w:type="dxa"/>
            <w:shd w:val="clear" w:color="auto" w:fill="DAEEF3" w:themeFill="accent5" w:themeFillTint="33"/>
          </w:tcPr>
          <w:p w:rsidR="00C57491" w:rsidRPr="00D17757" w:rsidRDefault="00C57491" w:rsidP="00D27F84">
            <w:pPr>
              <w:jc w:val="center"/>
              <w:rPr>
                <w:sz w:val="16"/>
                <w:szCs w:val="16"/>
              </w:rPr>
            </w:pPr>
            <w:r w:rsidRPr="00D17757">
              <w:rPr>
                <w:sz w:val="16"/>
                <w:szCs w:val="16"/>
              </w:rPr>
              <w:t>$58,840,740 CAD</w:t>
            </w:r>
          </w:p>
        </w:tc>
        <w:tc>
          <w:tcPr>
            <w:tcW w:w="1170" w:type="dxa"/>
            <w:shd w:val="clear" w:color="auto" w:fill="DAEEF3" w:themeFill="accent5" w:themeFillTint="33"/>
          </w:tcPr>
          <w:p w:rsidR="00C57491" w:rsidRPr="00D17757" w:rsidRDefault="00C57491" w:rsidP="00D27F84">
            <w:pPr>
              <w:jc w:val="center"/>
              <w:rPr>
                <w:sz w:val="16"/>
                <w:szCs w:val="16"/>
              </w:rPr>
            </w:pPr>
            <w:r w:rsidRPr="00D17757">
              <w:rPr>
                <w:sz w:val="16"/>
                <w:szCs w:val="16"/>
              </w:rPr>
              <w:t>$46,400,362 CAD</w:t>
            </w:r>
          </w:p>
        </w:tc>
        <w:tc>
          <w:tcPr>
            <w:tcW w:w="1170" w:type="dxa"/>
            <w:shd w:val="clear" w:color="auto" w:fill="DAEEF3" w:themeFill="accent5" w:themeFillTint="33"/>
          </w:tcPr>
          <w:p w:rsidR="00C57491" w:rsidRPr="00D17757" w:rsidRDefault="00C57491" w:rsidP="00D27F84">
            <w:pPr>
              <w:jc w:val="center"/>
              <w:rPr>
                <w:sz w:val="16"/>
                <w:szCs w:val="16"/>
              </w:rPr>
            </w:pPr>
            <w:r w:rsidRPr="00D17757">
              <w:rPr>
                <w:sz w:val="16"/>
                <w:szCs w:val="16"/>
              </w:rPr>
              <w:t>$61,083,722 CAD</w:t>
            </w:r>
          </w:p>
        </w:tc>
        <w:tc>
          <w:tcPr>
            <w:tcW w:w="1260" w:type="dxa"/>
            <w:shd w:val="clear" w:color="auto" w:fill="DAEEF3" w:themeFill="accent5" w:themeFillTint="33"/>
          </w:tcPr>
          <w:p w:rsidR="00C57491" w:rsidRPr="00D17757" w:rsidRDefault="00C57491" w:rsidP="00D27F84">
            <w:pPr>
              <w:jc w:val="center"/>
              <w:rPr>
                <w:sz w:val="16"/>
                <w:szCs w:val="16"/>
              </w:rPr>
            </w:pPr>
            <w:r w:rsidRPr="00D17757">
              <w:rPr>
                <w:sz w:val="16"/>
                <w:szCs w:val="16"/>
              </w:rPr>
              <w:t>$37,325,181 CAD</w:t>
            </w:r>
          </w:p>
        </w:tc>
        <w:tc>
          <w:tcPr>
            <w:tcW w:w="1260" w:type="dxa"/>
            <w:shd w:val="clear" w:color="auto" w:fill="DAEEF3" w:themeFill="accent5" w:themeFillTint="33"/>
          </w:tcPr>
          <w:p w:rsidR="00C57491" w:rsidRPr="00D17757" w:rsidRDefault="00C57491" w:rsidP="00D27F84">
            <w:pPr>
              <w:jc w:val="center"/>
              <w:rPr>
                <w:sz w:val="16"/>
                <w:szCs w:val="16"/>
              </w:rPr>
            </w:pPr>
            <w:r w:rsidRPr="00D17757">
              <w:rPr>
                <w:sz w:val="16"/>
                <w:szCs w:val="16"/>
              </w:rPr>
              <w:t>$31,897,581 CAD</w:t>
            </w:r>
          </w:p>
        </w:tc>
        <w:tc>
          <w:tcPr>
            <w:tcW w:w="1170" w:type="dxa"/>
            <w:shd w:val="clear" w:color="auto" w:fill="DAEEF3" w:themeFill="accent5" w:themeFillTint="33"/>
          </w:tcPr>
          <w:p w:rsidR="00C57491" w:rsidRPr="00D17757" w:rsidRDefault="00C57491" w:rsidP="00D27F84">
            <w:pPr>
              <w:jc w:val="center"/>
              <w:rPr>
                <w:sz w:val="16"/>
                <w:szCs w:val="16"/>
              </w:rPr>
            </w:pPr>
            <w:r w:rsidRPr="00D17757">
              <w:rPr>
                <w:sz w:val="16"/>
                <w:szCs w:val="16"/>
              </w:rPr>
              <w:t>$25,021,004 CAD</w:t>
            </w:r>
          </w:p>
        </w:tc>
        <w:tc>
          <w:tcPr>
            <w:tcW w:w="1170" w:type="dxa"/>
            <w:shd w:val="clear" w:color="auto" w:fill="DAEEF3" w:themeFill="accent5" w:themeFillTint="33"/>
          </w:tcPr>
          <w:p w:rsidR="00C57491" w:rsidRPr="00D17757" w:rsidRDefault="00C57491" w:rsidP="00D27F84">
            <w:pPr>
              <w:jc w:val="center"/>
              <w:rPr>
                <w:sz w:val="16"/>
                <w:szCs w:val="16"/>
              </w:rPr>
            </w:pPr>
            <w:r w:rsidRPr="00D17757">
              <w:rPr>
                <w:sz w:val="16"/>
                <w:szCs w:val="16"/>
              </w:rPr>
              <w:t>$55,804,679 CAD</w:t>
            </w:r>
          </w:p>
        </w:tc>
        <w:tc>
          <w:tcPr>
            <w:tcW w:w="1170" w:type="dxa"/>
            <w:shd w:val="clear" w:color="auto" w:fill="DAEEF3" w:themeFill="accent5" w:themeFillTint="33"/>
          </w:tcPr>
          <w:p w:rsidR="00C57491" w:rsidRPr="00D17757" w:rsidRDefault="00C57491" w:rsidP="00D27F84">
            <w:pPr>
              <w:jc w:val="center"/>
              <w:rPr>
                <w:sz w:val="16"/>
                <w:szCs w:val="16"/>
              </w:rPr>
            </w:pPr>
          </w:p>
        </w:tc>
      </w:tr>
      <w:tr w:rsidR="00C57491" w:rsidRPr="00D17757" w:rsidTr="00D27F84">
        <w:trPr>
          <w:trHeight w:val="200"/>
        </w:trPr>
        <w:tc>
          <w:tcPr>
            <w:tcW w:w="1421" w:type="dxa"/>
            <w:vMerge w:val="restart"/>
          </w:tcPr>
          <w:p w:rsidR="00C57491" w:rsidRPr="00D17757" w:rsidRDefault="00C57491" w:rsidP="00D27F84">
            <w:pPr>
              <w:rPr>
                <w:b/>
                <w:sz w:val="16"/>
                <w:szCs w:val="16"/>
                <w:vertAlign w:val="superscript"/>
              </w:rPr>
            </w:pPr>
            <w:r w:rsidRPr="00D17757">
              <w:rPr>
                <w:b/>
                <w:sz w:val="16"/>
                <w:szCs w:val="16"/>
              </w:rPr>
              <w:t>New Hampshire</w:t>
            </w:r>
            <w:r w:rsidRPr="00D17757">
              <w:rPr>
                <w:b/>
                <w:sz w:val="16"/>
                <w:szCs w:val="16"/>
                <w:vertAlign w:val="superscript"/>
              </w:rPr>
              <w:t>4</w:t>
            </w:r>
          </w:p>
        </w:tc>
        <w:tc>
          <w:tcPr>
            <w:tcW w:w="1080" w:type="dxa"/>
            <w:tcBorders>
              <w:bottom w:val="single" w:sz="4" w:space="0" w:color="000000" w:themeColor="text1"/>
            </w:tcBorders>
          </w:tcPr>
          <w:p w:rsidR="00C57491" w:rsidRPr="00D17757" w:rsidRDefault="00C57491" w:rsidP="00D27F84">
            <w:pPr>
              <w:jc w:val="center"/>
              <w:rPr>
                <w:sz w:val="16"/>
                <w:szCs w:val="16"/>
              </w:rPr>
            </w:pPr>
          </w:p>
        </w:tc>
        <w:tc>
          <w:tcPr>
            <w:tcW w:w="1170" w:type="dxa"/>
            <w:tcBorders>
              <w:bottom w:val="single" w:sz="4" w:space="0" w:color="000000" w:themeColor="text1"/>
            </w:tcBorders>
          </w:tcPr>
          <w:p w:rsidR="00C57491" w:rsidRPr="00D17757" w:rsidRDefault="00C57491" w:rsidP="00D27F84">
            <w:pPr>
              <w:jc w:val="center"/>
              <w:rPr>
                <w:sz w:val="16"/>
                <w:szCs w:val="16"/>
              </w:rPr>
            </w:pPr>
          </w:p>
        </w:tc>
        <w:tc>
          <w:tcPr>
            <w:tcW w:w="1260" w:type="dxa"/>
            <w:tcBorders>
              <w:bottom w:val="single" w:sz="4" w:space="0" w:color="000000" w:themeColor="text1"/>
            </w:tcBorders>
          </w:tcPr>
          <w:p w:rsidR="00C57491" w:rsidRPr="00D17757" w:rsidRDefault="00C57491" w:rsidP="00D27F84">
            <w:pPr>
              <w:jc w:val="center"/>
              <w:rPr>
                <w:sz w:val="16"/>
                <w:szCs w:val="16"/>
              </w:rPr>
            </w:pPr>
          </w:p>
        </w:tc>
        <w:tc>
          <w:tcPr>
            <w:tcW w:w="1080" w:type="dxa"/>
            <w:tcBorders>
              <w:bottom w:val="single" w:sz="4" w:space="0" w:color="000000" w:themeColor="text1"/>
            </w:tcBorders>
          </w:tcPr>
          <w:p w:rsidR="00C57491" w:rsidRPr="00D17757" w:rsidRDefault="00C57491" w:rsidP="00D27F84">
            <w:pPr>
              <w:jc w:val="center"/>
              <w:rPr>
                <w:sz w:val="16"/>
                <w:szCs w:val="16"/>
              </w:rPr>
            </w:pPr>
          </w:p>
        </w:tc>
        <w:tc>
          <w:tcPr>
            <w:tcW w:w="1170" w:type="dxa"/>
            <w:tcBorders>
              <w:bottom w:val="single" w:sz="4" w:space="0" w:color="000000" w:themeColor="text1"/>
            </w:tcBorders>
          </w:tcPr>
          <w:p w:rsidR="00C57491" w:rsidRPr="00D17757" w:rsidRDefault="00C57491" w:rsidP="00D27F84">
            <w:pPr>
              <w:jc w:val="center"/>
              <w:rPr>
                <w:sz w:val="16"/>
                <w:szCs w:val="16"/>
              </w:rPr>
            </w:pPr>
          </w:p>
        </w:tc>
        <w:tc>
          <w:tcPr>
            <w:tcW w:w="1170" w:type="dxa"/>
            <w:tcBorders>
              <w:bottom w:val="single" w:sz="4" w:space="0" w:color="000000" w:themeColor="text1"/>
            </w:tcBorders>
          </w:tcPr>
          <w:p w:rsidR="00C57491" w:rsidRPr="00D17757" w:rsidRDefault="00C57491" w:rsidP="00D27F84">
            <w:pPr>
              <w:jc w:val="center"/>
              <w:rPr>
                <w:sz w:val="16"/>
                <w:szCs w:val="16"/>
              </w:rPr>
            </w:pPr>
          </w:p>
        </w:tc>
        <w:tc>
          <w:tcPr>
            <w:tcW w:w="1260" w:type="dxa"/>
            <w:tcBorders>
              <w:bottom w:val="single" w:sz="4" w:space="0" w:color="000000" w:themeColor="text1"/>
            </w:tcBorders>
          </w:tcPr>
          <w:p w:rsidR="00C57491" w:rsidRPr="00D17757" w:rsidRDefault="00C57491" w:rsidP="00D27F84">
            <w:pPr>
              <w:jc w:val="center"/>
              <w:rPr>
                <w:sz w:val="16"/>
                <w:szCs w:val="16"/>
              </w:rPr>
            </w:pPr>
            <w:r w:rsidRPr="00D17757">
              <w:rPr>
                <w:sz w:val="16"/>
                <w:szCs w:val="16"/>
              </w:rPr>
              <w:t xml:space="preserve">$255,848 </w:t>
            </w:r>
          </w:p>
          <w:p w:rsidR="00C57491" w:rsidRPr="00D17757" w:rsidRDefault="00C57491" w:rsidP="00D27F84">
            <w:pPr>
              <w:jc w:val="center"/>
              <w:rPr>
                <w:sz w:val="16"/>
                <w:szCs w:val="16"/>
              </w:rPr>
            </w:pPr>
            <w:r w:rsidRPr="00D17757">
              <w:rPr>
                <w:sz w:val="16"/>
                <w:szCs w:val="16"/>
              </w:rPr>
              <w:t>USD</w:t>
            </w:r>
          </w:p>
        </w:tc>
        <w:tc>
          <w:tcPr>
            <w:tcW w:w="1260" w:type="dxa"/>
            <w:tcBorders>
              <w:bottom w:val="single" w:sz="4" w:space="0" w:color="000000" w:themeColor="text1"/>
            </w:tcBorders>
          </w:tcPr>
          <w:p w:rsidR="00C57491" w:rsidRPr="00D17757" w:rsidRDefault="00C57491" w:rsidP="00D27F84">
            <w:pPr>
              <w:jc w:val="center"/>
              <w:rPr>
                <w:sz w:val="16"/>
                <w:szCs w:val="16"/>
              </w:rPr>
            </w:pPr>
            <w:r w:rsidRPr="00D17757">
              <w:rPr>
                <w:sz w:val="16"/>
                <w:szCs w:val="16"/>
              </w:rPr>
              <w:t xml:space="preserve">$380,014 </w:t>
            </w:r>
          </w:p>
          <w:p w:rsidR="00C57491" w:rsidRPr="00D17757" w:rsidRDefault="00C57491" w:rsidP="00D27F84">
            <w:pPr>
              <w:jc w:val="center"/>
              <w:rPr>
                <w:sz w:val="16"/>
                <w:szCs w:val="16"/>
              </w:rPr>
            </w:pPr>
            <w:r w:rsidRPr="00D17757">
              <w:rPr>
                <w:sz w:val="16"/>
                <w:szCs w:val="16"/>
              </w:rPr>
              <w:t>USD</w:t>
            </w:r>
          </w:p>
        </w:tc>
        <w:tc>
          <w:tcPr>
            <w:tcW w:w="1170" w:type="dxa"/>
            <w:tcBorders>
              <w:bottom w:val="single" w:sz="4" w:space="0" w:color="000000" w:themeColor="text1"/>
            </w:tcBorders>
          </w:tcPr>
          <w:p w:rsidR="00C57491" w:rsidRPr="00D17757" w:rsidRDefault="00C57491" w:rsidP="00D27F84">
            <w:pPr>
              <w:jc w:val="center"/>
              <w:rPr>
                <w:sz w:val="16"/>
                <w:szCs w:val="16"/>
              </w:rPr>
            </w:pPr>
            <w:r w:rsidRPr="00D17757">
              <w:rPr>
                <w:sz w:val="16"/>
                <w:szCs w:val="16"/>
              </w:rPr>
              <w:t>$334,345 USD</w:t>
            </w:r>
          </w:p>
        </w:tc>
        <w:tc>
          <w:tcPr>
            <w:tcW w:w="1170" w:type="dxa"/>
            <w:tcBorders>
              <w:bottom w:val="single" w:sz="4" w:space="0" w:color="000000" w:themeColor="text1"/>
            </w:tcBorders>
          </w:tcPr>
          <w:p w:rsidR="00C57491" w:rsidRPr="00D17757" w:rsidRDefault="00C57491" w:rsidP="00D27F84">
            <w:pPr>
              <w:jc w:val="center"/>
              <w:rPr>
                <w:sz w:val="16"/>
                <w:szCs w:val="16"/>
              </w:rPr>
            </w:pPr>
            <w:r w:rsidRPr="00D17757">
              <w:rPr>
                <w:sz w:val="16"/>
                <w:szCs w:val="16"/>
              </w:rPr>
              <w:t xml:space="preserve">$329,300 </w:t>
            </w:r>
          </w:p>
          <w:p w:rsidR="00C57491" w:rsidRPr="00D17757" w:rsidRDefault="00C57491" w:rsidP="00D27F84">
            <w:pPr>
              <w:jc w:val="center"/>
              <w:rPr>
                <w:sz w:val="16"/>
                <w:szCs w:val="16"/>
              </w:rPr>
            </w:pPr>
            <w:r w:rsidRPr="00D17757">
              <w:rPr>
                <w:sz w:val="16"/>
                <w:szCs w:val="16"/>
              </w:rPr>
              <w:t>USD</w:t>
            </w:r>
          </w:p>
        </w:tc>
        <w:tc>
          <w:tcPr>
            <w:tcW w:w="1170" w:type="dxa"/>
            <w:tcBorders>
              <w:bottom w:val="single" w:sz="4" w:space="0" w:color="000000" w:themeColor="text1"/>
            </w:tcBorders>
          </w:tcPr>
          <w:p w:rsidR="00C57491" w:rsidRPr="00D17757" w:rsidRDefault="00C57491" w:rsidP="00D27F84">
            <w:pPr>
              <w:jc w:val="center"/>
              <w:rPr>
                <w:sz w:val="16"/>
                <w:szCs w:val="16"/>
              </w:rPr>
            </w:pPr>
            <w:r w:rsidRPr="00D17757">
              <w:rPr>
                <w:sz w:val="16"/>
                <w:szCs w:val="16"/>
              </w:rPr>
              <w:t xml:space="preserve">$371,690 </w:t>
            </w:r>
          </w:p>
          <w:p w:rsidR="00C57491" w:rsidRPr="00D17757" w:rsidRDefault="00C57491" w:rsidP="00D27F84">
            <w:pPr>
              <w:jc w:val="center"/>
              <w:rPr>
                <w:sz w:val="16"/>
                <w:szCs w:val="16"/>
              </w:rPr>
            </w:pPr>
            <w:r w:rsidRPr="00D17757">
              <w:rPr>
                <w:sz w:val="16"/>
                <w:szCs w:val="16"/>
              </w:rPr>
              <w:t>USD</w:t>
            </w:r>
          </w:p>
        </w:tc>
      </w:tr>
      <w:tr w:rsidR="00C57491" w:rsidRPr="00D17757" w:rsidTr="00D27F84">
        <w:trPr>
          <w:trHeight w:val="148"/>
        </w:trPr>
        <w:tc>
          <w:tcPr>
            <w:tcW w:w="1421" w:type="dxa"/>
            <w:vMerge/>
          </w:tcPr>
          <w:p w:rsidR="00C57491" w:rsidRPr="00D17757" w:rsidRDefault="00C57491" w:rsidP="00D27F84">
            <w:pPr>
              <w:rPr>
                <w:b/>
                <w:sz w:val="16"/>
                <w:szCs w:val="16"/>
              </w:rPr>
            </w:pPr>
          </w:p>
        </w:tc>
        <w:tc>
          <w:tcPr>
            <w:tcW w:w="1080" w:type="dxa"/>
            <w:shd w:val="clear" w:color="auto" w:fill="DAEEF3" w:themeFill="accent5" w:themeFillTint="33"/>
          </w:tcPr>
          <w:p w:rsidR="00C57491" w:rsidRPr="00D17757" w:rsidRDefault="00C57491" w:rsidP="00D27F84">
            <w:pPr>
              <w:jc w:val="center"/>
              <w:rPr>
                <w:sz w:val="16"/>
                <w:szCs w:val="16"/>
              </w:rPr>
            </w:pPr>
          </w:p>
        </w:tc>
        <w:tc>
          <w:tcPr>
            <w:tcW w:w="1170" w:type="dxa"/>
            <w:shd w:val="clear" w:color="auto" w:fill="DAEEF3" w:themeFill="accent5" w:themeFillTint="33"/>
          </w:tcPr>
          <w:p w:rsidR="00C57491" w:rsidRPr="00D17757" w:rsidRDefault="00C57491" w:rsidP="00D27F84">
            <w:pPr>
              <w:jc w:val="center"/>
              <w:rPr>
                <w:sz w:val="16"/>
                <w:szCs w:val="16"/>
              </w:rPr>
            </w:pPr>
          </w:p>
        </w:tc>
        <w:tc>
          <w:tcPr>
            <w:tcW w:w="1260" w:type="dxa"/>
            <w:shd w:val="clear" w:color="auto" w:fill="DAEEF3" w:themeFill="accent5" w:themeFillTint="33"/>
          </w:tcPr>
          <w:p w:rsidR="00C57491" w:rsidRPr="00D17757" w:rsidRDefault="00C57491" w:rsidP="00D27F84">
            <w:pPr>
              <w:jc w:val="center"/>
              <w:rPr>
                <w:sz w:val="16"/>
                <w:szCs w:val="16"/>
              </w:rPr>
            </w:pPr>
          </w:p>
        </w:tc>
        <w:tc>
          <w:tcPr>
            <w:tcW w:w="1080" w:type="dxa"/>
            <w:shd w:val="clear" w:color="auto" w:fill="DAEEF3" w:themeFill="accent5" w:themeFillTint="33"/>
          </w:tcPr>
          <w:p w:rsidR="00C57491" w:rsidRPr="00D17757" w:rsidRDefault="00C57491" w:rsidP="00D27F84">
            <w:pPr>
              <w:jc w:val="center"/>
              <w:rPr>
                <w:sz w:val="16"/>
                <w:szCs w:val="16"/>
              </w:rPr>
            </w:pPr>
          </w:p>
        </w:tc>
        <w:tc>
          <w:tcPr>
            <w:tcW w:w="1170" w:type="dxa"/>
            <w:shd w:val="clear" w:color="auto" w:fill="DAEEF3" w:themeFill="accent5" w:themeFillTint="33"/>
          </w:tcPr>
          <w:p w:rsidR="00C57491" w:rsidRPr="00D17757" w:rsidRDefault="00C57491" w:rsidP="00D27F84">
            <w:pPr>
              <w:jc w:val="center"/>
              <w:rPr>
                <w:sz w:val="16"/>
                <w:szCs w:val="16"/>
              </w:rPr>
            </w:pPr>
          </w:p>
        </w:tc>
        <w:tc>
          <w:tcPr>
            <w:tcW w:w="1170" w:type="dxa"/>
            <w:shd w:val="clear" w:color="auto" w:fill="DAEEF3" w:themeFill="accent5" w:themeFillTint="33"/>
          </w:tcPr>
          <w:p w:rsidR="00C57491" w:rsidRPr="00D17757" w:rsidRDefault="00C57491" w:rsidP="00D27F84">
            <w:pPr>
              <w:jc w:val="center"/>
              <w:rPr>
                <w:sz w:val="16"/>
                <w:szCs w:val="16"/>
              </w:rPr>
            </w:pPr>
          </w:p>
        </w:tc>
        <w:tc>
          <w:tcPr>
            <w:tcW w:w="1260" w:type="dxa"/>
            <w:shd w:val="clear" w:color="auto" w:fill="DAEEF3" w:themeFill="accent5" w:themeFillTint="33"/>
          </w:tcPr>
          <w:p w:rsidR="00C57491" w:rsidRPr="00D17757" w:rsidRDefault="00C57491" w:rsidP="00D27F84">
            <w:pPr>
              <w:jc w:val="center"/>
              <w:rPr>
                <w:sz w:val="16"/>
                <w:szCs w:val="16"/>
              </w:rPr>
            </w:pPr>
            <w:r w:rsidRPr="00D17757">
              <w:rPr>
                <w:sz w:val="16"/>
                <w:szCs w:val="16"/>
              </w:rPr>
              <w:t xml:space="preserve">$309,994 </w:t>
            </w:r>
          </w:p>
          <w:p w:rsidR="00C57491" w:rsidRPr="00D17757" w:rsidRDefault="00C57491" w:rsidP="00D27F84">
            <w:pPr>
              <w:jc w:val="center"/>
              <w:rPr>
                <w:sz w:val="16"/>
                <w:szCs w:val="16"/>
              </w:rPr>
            </w:pPr>
            <w:r w:rsidRPr="00D17757">
              <w:rPr>
                <w:sz w:val="16"/>
                <w:szCs w:val="16"/>
              </w:rPr>
              <w:t>CAD</w:t>
            </w:r>
          </w:p>
        </w:tc>
        <w:tc>
          <w:tcPr>
            <w:tcW w:w="1260" w:type="dxa"/>
            <w:shd w:val="clear" w:color="auto" w:fill="DAEEF3" w:themeFill="accent5" w:themeFillTint="33"/>
          </w:tcPr>
          <w:p w:rsidR="00C57491" w:rsidRPr="00D17757" w:rsidRDefault="00C57491" w:rsidP="00D27F84">
            <w:pPr>
              <w:jc w:val="center"/>
              <w:rPr>
                <w:sz w:val="16"/>
                <w:szCs w:val="16"/>
              </w:rPr>
            </w:pPr>
            <w:r w:rsidRPr="00D17757">
              <w:rPr>
                <w:sz w:val="16"/>
                <w:szCs w:val="16"/>
              </w:rPr>
              <w:t xml:space="preserve">$430,972 </w:t>
            </w:r>
          </w:p>
          <w:p w:rsidR="00C57491" w:rsidRPr="00D17757" w:rsidRDefault="00C57491" w:rsidP="00D27F84">
            <w:pPr>
              <w:jc w:val="center"/>
              <w:rPr>
                <w:sz w:val="16"/>
                <w:szCs w:val="16"/>
              </w:rPr>
            </w:pPr>
            <w:r w:rsidRPr="00D17757">
              <w:rPr>
                <w:sz w:val="16"/>
                <w:szCs w:val="16"/>
              </w:rPr>
              <w:t>CAD</w:t>
            </w:r>
          </w:p>
        </w:tc>
        <w:tc>
          <w:tcPr>
            <w:tcW w:w="1170" w:type="dxa"/>
            <w:shd w:val="clear" w:color="auto" w:fill="DAEEF3" w:themeFill="accent5" w:themeFillTint="33"/>
          </w:tcPr>
          <w:p w:rsidR="00C57491" w:rsidRPr="00D17757" w:rsidRDefault="00C57491" w:rsidP="00D27F84">
            <w:pPr>
              <w:jc w:val="center"/>
              <w:rPr>
                <w:sz w:val="16"/>
                <w:szCs w:val="16"/>
              </w:rPr>
            </w:pPr>
            <w:r w:rsidRPr="00D17757">
              <w:rPr>
                <w:sz w:val="16"/>
                <w:szCs w:val="16"/>
              </w:rPr>
              <w:t>$359,348 CAD</w:t>
            </w:r>
          </w:p>
        </w:tc>
        <w:tc>
          <w:tcPr>
            <w:tcW w:w="1170" w:type="dxa"/>
            <w:shd w:val="clear" w:color="auto" w:fill="DAEEF3" w:themeFill="accent5" w:themeFillTint="33"/>
          </w:tcPr>
          <w:p w:rsidR="00C57491" w:rsidRPr="00D17757" w:rsidRDefault="00C57491" w:rsidP="00D27F84">
            <w:pPr>
              <w:jc w:val="center"/>
              <w:rPr>
                <w:sz w:val="16"/>
                <w:szCs w:val="16"/>
              </w:rPr>
            </w:pPr>
            <w:r w:rsidRPr="00D17757">
              <w:rPr>
                <w:sz w:val="16"/>
                <w:szCs w:val="16"/>
              </w:rPr>
              <w:t xml:space="preserve">$351,039 </w:t>
            </w:r>
          </w:p>
          <w:p w:rsidR="00C57491" w:rsidRPr="00D17757" w:rsidRDefault="00C57491" w:rsidP="00D27F84">
            <w:pPr>
              <w:jc w:val="center"/>
              <w:rPr>
                <w:sz w:val="16"/>
                <w:szCs w:val="16"/>
              </w:rPr>
            </w:pPr>
            <w:r w:rsidRPr="00D17757">
              <w:rPr>
                <w:sz w:val="16"/>
                <w:szCs w:val="16"/>
              </w:rPr>
              <w:t>CAD</w:t>
            </w:r>
          </w:p>
        </w:tc>
        <w:tc>
          <w:tcPr>
            <w:tcW w:w="1170" w:type="dxa"/>
            <w:shd w:val="clear" w:color="auto" w:fill="DAEEF3" w:themeFill="accent5" w:themeFillTint="33"/>
          </w:tcPr>
          <w:p w:rsidR="00C57491" w:rsidRPr="00D17757" w:rsidRDefault="00C57491" w:rsidP="00D27F84">
            <w:pPr>
              <w:jc w:val="center"/>
              <w:rPr>
                <w:sz w:val="16"/>
                <w:szCs w:val="16"/>
              </w:rPr>
            </w:pPr>
            <w:r w:rsidRPr="00D17757">
              <w:rPr>
                <w:sz w:val="16"/>
                <w:szCs w:val="16"/>
              </w:rPr>
              <w:t xml:space="preserve">$424,462 </w:t>
            </w:r>
          </w:p>
          <w:p w:rsidR="00C57491" w:rsidRPr="00D17757" w:rsidRDefault="00C57491" w:rsidP="00D27F84">
            <w:pPr>
              <w:jc w:val="center"/>
              <w:rPr>
                <w:sz w:val="16"/>
                <w:szCs w:val="16"/>
              </w:rPr>
            </w:pPr>
            <w:r w:rsidRPr="00D17757">
              <w:rPr>
                <w:sz w:val="16"/>
                <w:szCs w:val="16"/>
              </w:rPr>
              <w:t>CAD</w:t>
            </w:r>
          </w:p>
        </w:tc>
      </w:tr>
      <w:tr w:rsidR="00C57491" w:rsidRPr="00D17757" w:rsidTr="00D27F84">
        <w:trPr>
          <w:trHeight w:val="200"/>
        </w:trPr>
        <w:tc>
          <w:tcPr>
            <w:tcW w:w="1421" w:type="dxa"/>
            <w:vMerge w:val="restart"/>
          </w:tcPr>
          <w:p w:rsidR="00C57491" w:rsidRPr="00D17757" w:rsidRDefault="00C57491" w:rsidP="00D27F84">
            <w:pPr>
              <w:rPr>
                <w:b/>
                <w:sz w:val="16"/>
                <w:szCs w:val="16"/>
                <w:vertAlign w:val="superscript"/>
              </w:rPr>
            </w:pPr>
            <w:r w:rsidRPr="00D17757">
              <w:rPr>
                <w:b/>
                <w:sz w:val="16"/>
                <w:szCs w:val="16"/>
              </w:rPr>
              <w:t>Massachusetts</w:t>
            </w:r>
            <w:r w:rsidRPr="00D17757">
              <w:rPr>
                <w:b/>
                <w:sz w:val="16"/>
                <w:szCs w:val="16"/>
                <w:vertAlign w:val="superscript"/>
              </w:rPr>
              <w:t>5</w:t>
            </w:r>
          </w:p>
        </w:tc>
        <w:tc>
          <w:tcPr>
            <w:tcW w:w="1080" w:type="dxa"/>
            <w:tcBorders>
              <w:bottom w:val="single" w:sz="4" w:space="0" w:color="000000" w:themeColor="text1"/>
            </w:tcBorders>
          </w:tcPr>
          <w:p w:rsidR="00C57491" w:rsidRPr="00D17757" w:rsidRDefault="00C57491" w:rsidP="00D27F84">
            <w:pPr>
              <w:jc w:val="center"/>
              <w:rPr>
                <w:sz w:val="16"/>
                <w:szCs w:val="16"/>
              </w:rPr>
            </w:pPr>
          </w:p>
        </w:tc>
        <w:tc>
          <w:tcPr>
            <w:tcW w:w="1170" w:type="dxa"/>
            <w:tcBorders>
              <w:bottom w:val="single" w:sz="4" w:space="0" w:color="000000" w:themeColor="text1"/>
            </w:tcBorders>
          </w:tcPr>
          <w:p w:rsidR="00C57491" w:rsidRPr="00D17757" w:rsidRDefault="00C57491" w:rsidP="00D27F84">
            <w:pPr>
              <w:jc w:val="center"/>
              <w:rPr>
                <w:sz w:val="16"/>
                <w:szCs w:val="16"/>
              </w:rPr>
            </w:pPr>
            <w:r w:rsidRPr="00D17757">
              <w:rPr>
                <w:sz w:val="16"/>
                <w:szCs w:val="16"/>
              </w:rPr>
              <w:t>$3,522,736</w:t>
            </w:r>
          </w:p>
          <w:p w:rsidR="00C57491" w:rsidRPr="00D17757" w:rsidRDefault="00C57491" w:rsidP="00D27F84">
            <w:pPr>
              <w:jc w:val="center"/>
              <w:rPr>
                <w:sz w:val="16"/>
                <w:szCs w:val="16"/>
              </w:rPr>
            </w:pPr>
            <w:r w:rsidRPr="00D17757">
              <w:rPr>
                <w:sz w:val="16"/>
                <w:szCs w:val="16"/>
              </w:rPr>
              <w:t>USD</w:t>
            </w:r>
          </w:p>
        </w:tc>
        <w:tc>
          <w:tcPr>
            <w:tcW w:w="1260" w:type="dxa"/>
            <w:tcBorders>
              <w:bottom w:val="single" w:sz="4" w:space="0" w:color="000000" w:themeColor="text1"/>
            </w:tcBorders>
          </w:tcPr>
          <w:p w:rsidR="00C57491" w:rsidRPr="00D17757" w:rsidRDefault="00C57491" w:rsidP="00D27F84">
            <w:pPr>
              <w:jc w:val="center"/>
              <w:rPr>
                <w:sz w:val="16"/>
                <w:szCs w:val="16"/>
              </w:rPr>
            </w:pPr>
            <w:r w:rsidRPr="00D17757">
              <w:rPr>
                <w:sz w:val="16"/>
                <w:szCs w:val="16"/>
              </w:rPr>
              <w:t xml:space="preserve">$2,660,801 </w:t>
            </w:r>
          </w:p>
          <w:p w:rsidR="00C57491" w:rsidRPr="00D17757" w:rsidRDefault="00C57491" w:rsidP="00D27F84">
            <w:pPr>
              <w:jc w:val="center"/>
              <w:rPr>
                <w:sz w:val="16"/>
                <w:szCs w:val="16"/>
              </w:rPr>
            </w:pPr>
            <w:r w:rsidRPr="00D17757">
              <w:rPr>
                <w:sz w:val="16"/>
                <w:szCs w:val="16"/>
              </w:rPr>
              <w:t>USD</w:t>
            </w:r>
          </w:p>
        </w:tc>
        <w:tc>
          <w:tcPr>
            <w:tcW w:w="1080" w:type="dxa"/>
            <w:tcBorders>
              <w:bottom w:val="single" w:sz="4" w:space="0" w:color="000000" w:themeColor="text1"/>
            </w:tcBorders>
          </w:tcPr>
          <w:p w:rsidR="00C57491" w:rsidRPr="00D17757" w:rsidRDefault="00C57491" w:rsidP="00D27F84">
            <w:pPr>
              <w:jc w:val="center"/>
              <w:rPr>
                <w:sz w:val="16"/>
                <w:szCs w:val="16"/>
              </w:rPr>
            </w:pPr>
            <w:r w:rsidRPr="00D17757">
              <w:rPr>
                <w:sz w:val="16"/>
                <w:szCs w:val="16"/>
              </w:rPr>
              <w:t xml:space="preserve">$2,915,393 </w:t>
            </w:r>
          </w:p>
          <w:p w:rsidR="00C57491" w:rsidRPr="00D17757" w:rsidRDefault="00C57491" w:rsidP="00D27F84">
            <w:pPr>
              <w:jc w:val="center"/>
              <w:rPr>
                <w:sz w:val="16"/>
                <w:szCs w:val="16"/>
              </w:rPr>
            </w:pPr>
            <w:r w:rsidRPr="00D17757">
              <w:rPr>
                <w:sz w:val="16"/>
                <w:szCs w:val="16"/>
              </w:rPr>
              <w:t>USD</w:t>
            </w:r>
          </w:p>
        </w:tc>
        <w:tc>
          <w:tcPr>
            <w:tcW w:w="1170" w:type="dxa"/>
            <w:tcBorders>
              <w:bottom w:val="single" w:sz="4" w:space="0" w:color="000000" w:themeColor="text1"/>
            </w:tcBorders>
          </w:tcPr>
          <w:p w:rsidR="00C57491" w:rsidRPr="00D17757" w:rsidRDefault="00C57491" w:rsidP="00D27F84">
            <w:pPr>
              <w:jc w:val="center"/>
              <w:rPr>
                <w:sz w:val="16"/>
                <w:szCs w:val="16"/>
              </w:rPr>
            </w:pPr>
            <w:r w:rsidRPr="00D17757">
              <w:rPr>
                <w:sz w:val="16"/>
                <w:szCs w:val="16"/>
              </w:rPr>
              <w:t xml:space="preserve">$2,896,825 </w:t>
            </w:r>
          </w:p>
          <w:p w:rsidR="00C57491" w:rsidRPr="00D17757" w:rsidRDefault="00C57491" w:rsidP="00D27F84">
            <w:pPr>
              <w:jc w:val="center"/>
              <w:rPr>
                <w:sz w:val="16"/>
                <w:szCs w:val="16"/>
              </w:rPr>
            </w:pPr>
            <w:r w:rsidRPr="00D17757">
              <w:rPr>
                <w:sz w:val="16"/>
                <w:szCs w:val="16"/>
              </w:rPr>
              <w:t>USD</w:t>
            </w:r>
          </w:p>
        </w:tc>
        <w:tc>
          <w:tcPr>
            <w:tcW w:w="1170" w:type="dxa"/>
            <w:tcBorders>
              <w:bottom w:val="single" w:sz="4" w:space="0" w:color="000000" w:themeColor="text1"/>
            </w:tcBorders>
          </w:tcPr>
          <w:p w:rsidR="00C57491" w:rsidRPr="00D17757" w:rsidRDefault="00C57491" w:rsidP="00D27F84">
            <w:pPr>
              <w:jc w:val="center"/>
              <w:rPr>
                <w:sz w:val="16"/>
                <w:szCs w:val="16"/>
              </w:rPr>
            </w:pPr>
            <w:r w:rsidRPr="00D17757">
              <w:rPr>
                <w:sz w:val="16"/>
                <w:szCs w:val="16"/>
              </w:rPr>
              <w:t>$2,807,072</w:t>
            </w:r>
          </w:p>
          <w:p w:rsidR="00C57491" w:rsidRPr="00D17757" w:rsidRDefault="00C57491" w:rsidP="00D27F84">
            <w:pPr>
              <w:jc w:val="center"/>
              <w:rPr>
                <w:sz w:val="16"/>
                <w:szCs w:val="16"/>
              </w:rPr>
            </w:pPr>
            <w:r w:rsidRPr="00D17757">
              <w:rPr>
                <w:sz w:val="16"/>
                <w:szCs w:val="16"/>
              </w:rPr>
              <w:t>USD</w:t>
            </w:r>
          </w:p>
        </w:tc>
        <w:tc>
          <w:tcPr>
            <w:tcW w:w="1260" w:type="dxa"/>
            <w:tcBorders>
              <w:bottom w:val="single" w:sz="4" w:space="0" w:color="000000" w:themeColor="text1"/>
            </w:tcBorders>
          </w:tcPr>
          <w:p w:rsidR="00C57491" w:rsidRPr="00D17757" w:rsidRDefault="00C57491" w:rsidP="00D27F84">
            <w:pPr>
              <w:jc w:val="center"/>
              <w:rPr>
                <w:sz w:val="16"/>
                <w:szCs w:val="16"/>
              </w:rPr>
            </w:pPr>
            <w:r w:rsidRPr="00D17757">
              <w:rPr>
                <w:sz w:val="16"/>
                <w:szCs w:val="16"/>
              </w:rPr>
              <w:t xml:space="preserve">$4,191,643 </w:t>
            </w:r>
          </w:p>
          <w:p w:rsidR="00C57491" w:rsidRPr="00D17757" w:rsidRDefault="00C57491" w:rsidP="00D27F84">
            <w:pPr>
              <w:jc w:val="center"/>
              <w:rPr>
                <w:sz w:val="16"/>
                <w:szCs w:val="16"/>
              </w:rPr>
            </w:pPr>
            <w:r w:rsidRPr="00D17757">
              <w:rPr>
                <w:sz w:val="16"/>
                <w:szCs w:val="16"/>
              </w:rPr>
              <w:t>USD</w:t>
            </w:r>
          </w:p>
        </w:tc>
        <w:tc>
          <w:tcPr>
            <w:tcW w:w="1260" w:type="dxa"/>
            <w:tcBorders>
              <w:bottom w:val="single" w:sz="4" w:space="0" w:color="000000" w:themeColor="text1"/>
            </w:tcBorders>
          </w:tcPr>
          <w:p w:rsidR="00C57491" w:rsidRPr="00D17757" w:rsidRDefault="00C57491" w:rsidP="00D27F84">
            <w:pPr>
              <w:jc w:val="center"/>
              <w:rPr>
                <w:sz w:val="16"/>
                <w:szCs w:val="16"/>
              </w:rPr>
            </w:pPr>
            <w:r w:rsidRPr="00D17757">
              <w:rPr>
                <w:sz w:val="16"/>
                <w:szCs w:val="16"/>
              </w:rPr>
              <w:t>$5,035,244</w:t>
            </w:r>
          </w:p>
          <w:p w:rsidR="00C57491" w:rsidRPr="00D17757" w:rsidRDefault="00C57491" w:rsidP="00D27F84">
            <w:pPr>
              <w:jc w:val="center"/>
              <w:rPr>
                <w:sz w:val="16"/>
                <w:szCs w:val="16"/>
              </w:rPr>
            </w:pPr>
            <w:r w:rsidRPr="00D17757">
              <w:rPr>
                <w:sz w:val="16"/>
                <w:szCs w:val="16"/>
              </w:rPr>
              <w:t>USD</w:t>
            </w:r>
          </w:p>
        </w:tc>
        <w:tc>
          <w:tcPr>
            <w:tcW w:w="1170" w:type="dxa"/>
            <w:tcBorders>
              <w:bottom w:val="single" w:sz="4" w:space="0" w:color="000000" w:themeColor="text1"/>
            </w:tcBorders>
          </w:tcPr>
          <w:p w:rsidR="00C57491" w:rsidRPr="00D17757" w:rsidRDefault="00C57491" w:rsidP="00D27F84">
            <w:pPr>
              <w:jc w:val="center"/>
              <w:rPr>
                <w:sz w:val="16"/>
                <w:szCs w:val="16"/>
              </w:rPr>
            </w:pPr>
            <w:r w:rsidRPr="00D17757">
              <w:rPr>
                <w:sz w:val="16"/>
                <w:szCs w:val="16"/>
              </w:rPr>
              <w:t xml:space="preserve">$4,508,644 </w:t>
            </w:r>
          </w:p>
          <w:p w:rsidR="00C57491" w:rsidRPr="00D17757" w:rsidRDefault="00C57491" w:rsidP="00D27F84">
            <w:pPr>
              <w:jc w:val="center"/>
              <w:rPr>
                <w:sz w:val="16"/>
                <w:szCs w:val="16"/>
              </w:rPr>
            </w:pPr>
            <w:r w:rsidRPr="00D17757">
              <w:rPr>
                <w:sz w:val="16"/>
                <w:szCs w:val="16"/>
              </w:rPr>
              <w:t>USD</w:t>
            </w:r>
          </w:p>
        </w:tc>
        <w:tc>
          <w:tcPr>
            <w:tcW w:w="1170" w:type="dxa"/>
            <w:tcBorders>
              <w:bottom w:val="single" w:sz="4" w:space="0" w:color="000000" w:themeColor="text1"/>
            </w:tcBorders>
          </w:tcPr>
          <w:p w:rsidR="00C57491" w:rsidRPr="00D17757" w:rsidRDefault="00C57491" w:rsidP="00D27F84">
            <w:pPr>
              <w:jc w:val="center"/>
              <w:rPr>
                <w:sz w:val="16"/>
                <w:szCs w:val="16"/>
              </w:rPr>
            </w:pPr>
            <w:r w:rsidRPr="00D17757">
              <w:rPr>
                <w:sz w:val="16"/>
                <w:szCs w:val="16"/>
              </w:rPr>
              <w:t>$6,552,487</w:t>
            </w:r>
          </w:p>
          <w:p w:rsidR="00C57491" w:rsidRPr="00D17757" w:rsidRDefault="00C57491" w:rsidP="00D27F84">
            <w:pPr>
              <w:jc w:val="center"/>
              <w:rPr>
                <w:sz w:val="16"/>
                <w:szCs w:val="16"/>
              </w:rPr>
            </w:pPr>
            <w:r w:rsidRPr="00D17757">
              <w:rPr>
                <w:sz w:val="16"/>
                <w:szCs w:val="16"/>
              </w:rPr>
              <w:t>USD</w:t>
            </w:r>
          </w:p>
        </w:tc>
        <w:tc>
          <w:tcPr>
            <w:tcW w:w="1170" w:type="dxa"/>
            <w:tcBorders>
              <w:bottom w:val="single" w:sz="4" w:space="0" w:color="000000" w:themeColor="text1"/>
            </w:tcBorders>
          </w:tcPr>
          <w:p w:rsidR="00C57491" w:rsidRPr="00D17757" w:rsidRDefault="00C57491" w:rsidP="00D27F84">
            <w:pPr>
              <w:jc w:val="center"/>
              <w:rPr>
                <w:sz w:val="16"/>
                <w:szCs w:val="16"/>
              </w:rPr>
            </w:pPr>
          </w:p>
        </w:tc>
      </w:tr>
      <w:tr w:rsidR="00C57491" w:rsidRPr="00D17757" w:rsidTr="00D27F84">
        <w:trPr>
          <w:trHeight w:val="148"/>
        </w:trPr>
        <w:tc>
          <w:tcPr>
            <w:tcW w:w="1421" w:type="dxa"/>
            <w:vMerge/>
          </w:tcPr>
          <w:p w:rsidR="00C57491" w:rsidRPr="00D17757" w:rsidRDefault="00C57491" w:rsidP="00D27F84">
            <w:pPr>
              <w:rPr>
                <w:sz w:val="16"/>
                <w:szCs w:val="16"/>
              </w:rPr>
            </w:pPr>
          </w:p>
        </w:tc>
        <w:tc>
          <w:tcPr>
            <w:tcW w:w="1080" w:type="dxa"/>
            <w:shd w:val="clear" w:color="auto" w:fill="DAEEF3" w:themeFill="accent5" w:themeFillTint="33"/>
          </w:tcPr>
          <w:p w:rsidR="00C57491" w:rsidRPr="00D17757" w:rsidRDefault="00C57491" w:rsidP="00D27F84">
            <w:pPr>
              <w:jc w:val="center"/>
              <w:rPr>
                <w:sz w:val="16"/>
                <w:szCs w:val="16"/>
              </w:rPr>
            </w:pPr>
          </w:p>
        </w:tc>
        <w:tc>
          <w:tcPr>
            <w:tcW w:w="1170" w:type="dxa"/>
            <w:shd w:val="clear" w:color="auto" w:fill="DAEEF3" w:themeFill="accent5" w:themeFillTint="33"/>
          </w:tcPr>
          <w:p w:rsidR="00C57491" w:rsidRPr="00D17757" w:rsidRDefault="00C57491" w:rsidP="00D27F84">
            <w:pPr>
              <w:jc w:val="center"/>
              <w:rPr>
                <w:sz w:val="16"/>
                <w:szCs w:val="16"/>
              </w:rPr>
            </w:pPr>
            <w:r w:rsidRPr="00D17757">
              <w:rPr>
                <w:sz w:val="16"/>
                <w:szCs w:val="16"/>
              </w:rPr>
              <w:t xml:space="preserve">$5,231,976 </w:t>
            </w:r>
          </w:p>
          <w:p w:rsidR="00C57491" w:rsidRPr="00D17757" w:rsidRDefault="00C57491" w:rsidP="00D27F84">
            <w:pPr>
              <w:jc w:val="center"/>
              <w:rPr>
                <w:sz w:val="16"/>
                <w:szCs w:val="16"/>
              </w:rPr>
            </w:pPr>
            <w:r w:rsidRPr="00D17757">
              <w:rPr>
                <w:sz w:val="16"/>
                <w:szCs w:val="16"/>
              </w:rPr>
              <w:t>CAD</w:t>
            </w:r>
          </w:p>
        </w:tc>
        <w:tc>
          <w:tcPr>
            <w:tcW w:w="1260" w:type="dxa"/>
            <w:shd w:val="clear" w:color="auto" w:fill="DAEEF3" w:themeFill="accent5" w:themeFillTint="33"/>
          </w:tcPr>
          <w:p w:rsidR="00C57491" w:rsidRPr="00D17757" w:rsidRDefault="00C57491" w:rsidP="00D27F84">
            <w:pPr>
              <w:jc w:val="center"/>
              <w:rPr>
                <w:sz w:val="16"/>
                <w:szCs w:val="16"/>
              </w:rPr>
            </w:pPr>
            <w:r w:rsidRPr="00D17757">
              <w:rPr>
                <w:sz w:val="16"/>
                <w:szCs w:val="16"/>
              </w:rPr>
              <w:t>$4,120,027</w:t>
            </w:r>
          </w:p>
          <w:p w:rsidR="00C57491" w:rsidRPr="00D17757" w:rsidRDefault="00C57491" w:rsidP="00D27F84">
            <w:pPr>
              <w:jc w:val="center"/>
              <w:rPr>
                <w:sz w:val="16"/>
                <w:szCs w:val="16"/>
              </w:rPr>
            </w:pPr>
            <w:r w:rsidRPr="00D17757">
              <w:rPr>
                <w:sz w:val="16"/>
                <w:szCs w:val="16"/>
              </w:rPr>
              <w:t>CAD</w:t>
            </w:r>
          </w:p>
        </w:tc>
        <w:tc>
          <w:tcPr>
            <w:tcW w:w="1080" w:type="dxa"/>
            <w:shd w:val="clear" w:color="auto" w:fill="DAEEF3" w:themeFill="accent5" w:themeFillTint="33"/>
          </w:tcPr>
          <w:p w:rsidR="00C57491" w:rsidRPr="00D17757" w:rsidRDefault="00C57491" w:rsidP="00D27F84">
            <w:pPr>
              <w:jc w:val="center"/>
              <w:rPr>
                <w:sz w:val="16"/>
                <w:szCs w:val="16"/>
              </w:rPr>
            </w:pPr>
            <w:r w:rsidRPr="00D17757">
              <w:rPr>
                <w:sz w:val="16"/>
                <w:szCs w:val="16"/>
              </w:rPr>
              <w:t>$4,578,216 CAD</w:t>
            </w:r>
          </w:p>
        </w:tc>
        <w:tc>
          <w:tcPr>
            <w:tcW w:w="1170" w:type="dxa"/>
            <w:shd w:val="clear" w:color="auto" w:fill="DAEEF3" w:themeFill="accent5" w:themeFillTint="33"/>
          </w:tcPr>
          <w:p w:rsidR="00C57491" w:rsidRPr="00D17757" w:rsidRDefault="00C57491" w:rsidP="00D27F84">
            <w:pPr>
              <w:jc w:val="center"/>
              <w:rPr>
                <w:sz w:val="16"/>
                <w:szCs w:val="16"/>
              </w:rPr>
            </w:pPr>
            <w:r w:rsidRPr="00D17757">
              <w:rPr>
                <w:sz w:val="16"/>
                <w:szCs w:val="16"/>
              </w:rPr>
              <w:t>$4,059,789 CAD</w:t>
            </w:r>
          </w:p>
        </w:tc>
        <w:tc>
          <w:tcPr>
            <w:tcW w:w="1170" w:type="dxa"/>
            <w:shd w:val="clear" w:color="auto" w:fill="DAEEF3" w:themeFill="accent5" w:themeFillTint="33"/>
          </w:tcPr>
          <w:p w:rsidR="00C57491" w:rsidRPr="00D17757" w:rsidRDefault="00C57491" w:rsidP="00D27F84">
            <w:pPr>
              <w:jc w:val="center"/>
              <w:rPr>
                <w:sz w:val="16"/>
                <w:szCs w:val="16"/>
              </w:rPr>
            </w:pPr>
            <w:r w:rsidRPr="00D17757">
              <w:rPr>
                <w:sz w:val="16"/>
                <w:szCs w:val="16"/>
              </w:rPr>
              <w:t>$3,653,460 CAD</w:t>
            </w:r>
          </w:p>
        </w:tc>
        <w:tc>
          <w:tcPr>
            <w:tcW w:w="1260" w:type="dxa"/>
            <w:shd w:val="clear" w:color="auto" w:fill="DAEEF3" w:themeFill="accent5" w:themeFillTint="33"/>
          </w:tcPr>
          <w:p w:rsidR="00C57491" w:rsidRPr="00D17757" w:rsidRDefault="00C57491" w:rsidP="00D27F84">
            <w:pPr>
              <w:jc w:val="center"/>
              <w:rPr>
                <w:sz w:val="16"/>
                <w:szCs w:val="16"/>
              </w:rPr>
            </w:pPr>
            <w:r w:rsidRPr="00D17757">
              <w:rPr>
                <w:sz w:val="16"/>
                <w:szCs w:val="16"/>
              </w:rPr>
              <w:t>$5,078,731 CAD</w:t>
            </w:r>
          </w:p>
        </w:tc>
        <w:tc>
          <w:tcPr>
            <w:tcW w:w="1260" w:type="dxa"/>
            <w:shd w:val="clear" w:color="auto" w:fill="DAEEF3" w:themeFill="accent5" w:themeFillTint="33"/>
          </w:tcPr>
          <w:p w:rsidR="00C57491" w:rsidRPr="00D17757" w:rsidRDefault="00C57491" w:rsidP="00D27F84">
            <w:pPr>
              <w:jc w:val="center"/>
              <w:rPr>
                <w:sz w:val="16"/>
                <w:szCs w:val="16"/>
              </w:rPr>
            </w:pPr>
            <w:r w:rsidRPr="00D17757">
              <w:rPr>
                <w:sz w:val="16"/>
                <w:szCs w:val="16"/>
              </w:rPr>
              <w:t xml:space="preserve">$5,710,438 </w:t>
            </w:r>
          </w:p>
          <w:p w:rsidR="00C57491" w:rsidRPr="00D17757" w:rsidRDefault="00C57491" w:rsidP="00D27F84">
            <w:pPr>
              <w:jc w:val="center"/>
              <w:rPr>
                <w:sz w:val="16"/>
                <w:szCs w:val="16"/>
              </w:rPr>
            </w:pPr>
            <w:r w:rsidRPr="00D17757">
              <w:rPr>
                <w:sz w:val="16"/>
                <w:szCs w:val="16"/>
              </w:rPr>
              <w:t>CAD</w:t>
            </w:r>
          </w:p>
        </w:tc>
        <w:tc>
          <w:tcPr>
            <w:tcW w:w="1170" w:type="dxa"/>
            <w:shd w:val="clear" w:color="auto" w:fill="DAEEF3" w:themeFill="accent5" w:themeFillTint="33"/>
          </w:tcPr>
          <w:p w:rsidR="00C57491" w:rsidRPr="00D17757" w:rsidRDefault="00C57491" w:rsidP="00D27F84">
            <w:pPr>
              <w:jc w:val="center"/>
              <w:rPr>
                <w:sz w:val="16"/>
                <w:szCs w:val="16"/>
              </w:rPr>
            </w:pPr>
            <w:r w:rsidRPr="00D17757">
              <w:rPr>
                <w:sz w:val="16"/>
                <w:szCs w:val="16"/>
              </w:rPr>
              <w:t>$4,845,806 CAD</w:t>
            </w:r>
          </w:p>
        </w:tc>
        <w:tc>
          <w:tcPr>
            <w:tcW w:w="1170" w:type="dxa"/>
            <w:shd w:val="clear" w:color="auto" w:fill="DAEEF3" w:themeFill="accent5" w:themeFillTint="33"/>
          </w:tcPr>
          <w:p w:rsidR="00C57491" w:rsidRPr="00D17757" w:rsidRDefault="00C57491" w:rsidP="00D27F84">
            <w:pPr>
              <w:jc w:val="center"/>
              <w:rPr>
                <w:sz w:val="16"/>
                <w:szCs w:val="16"/>
              </w:rPr>
            </w:pPr>
            <w:r w:rsidRPr="00D17757">
              <w:rPr>
                <w:sz w:val="16"/>
                <w:szCs w:val="16"/>
              </w:rPr>
              <w:t>$6,985,045 CAD</w:t>
            </w:r>
          </w:p>
        </w:tc>
        <w:tc>
          <w:tcPr>
            <w:tcW w:w="1170" w:type="dxa"/>
            <w:shd w:val="clear" w:color="auto" w:fill="DAEEF3" w:themeFill="accent5" w:themeFillTint="33"/>
          </w:tcPr>
          <w:p w:rsidR="00C57491" w:rsidRPr="00D17757" w:rsidRDefault="00C57491" w:rsidP="00D27F84">
            <w:pPr>
              <w:jc w:val="center"/>
              <w:rPr>
                <w:sz w:val="16"/>
                <w:szCs w:val="16"/>
              </w:rPr>
            </w:pPr>
          </w:p>
        </w:tc>
      </w:tr>
    </w:tbl>
    <w:p w:rsidR="00C57491" w:rsidRPr="00D17757" w:rsidRDefault="00C57491" w:rsidP="00C57491">
      <w:pPr>
        <w:rPr>
          <w:sz w:val="16"/>
          <w:szCs w:val="16"/>
        </w:rPr>
      </w:pPr>
    </w:p>
    <w:p w:rsidR="00C57491" w:rsidRPr="00D17757" w:rsidRDefault="00C57491" w:rsidP="00C57491">
      <w:pPr>
        <w:spacing w:line="240" w:lineRule="auto"/>
        <w:rPr>
          <w:sz w:val="16"/>
          <w:szCs w:val="16"/>
        </w:rPr>
      </w:pPr>
      <w:r w:rsidRPr="00D17757">
        <w:rPr>
          <w:sz w:val="16"/>
          <w:szCs w:val="16"/>
        </w:rPr>
        <w:t>Data represent Gulf of Maine only. Average annual exchange rate utilized for calculating USD:CAD.</w:t>
      </w:r>
    </w:p>
    <w:p w:rsidR="00C57491" w:rsidRPr="00D17757" w:rsidRDefault="00C57491" w:rsidP="00C57491">
      <w:pPr>
        <w:spacing w:line="240" w:lineRule="auto"/>
        <w:rPr>
          <w:sz w:val="16"/>
          <w:szCs w:val="16"/>
        </w:rPr>
      </w:pPr>
      <w:r w:rsidRPr="00D17757">
        <w:rPr>
          <w:sz w:val="16"/>
          <w:szCs w:val="16"/>
          <w:vertAlign w:val="superscript"/>
        </w:rPr>
        <w:t>1</w:t>
      </w:r>
      <w:r w:rsidRPr="00D17757">
        <w:rPr>
          <w:sz w:val="16"/>
          <w:szCs w:val="16"/>
        </w:rPr>
        <w:t xml:space="preserve"> Nova Scotia values from NS Department of Fisheries and Aquaculture</w:t>
      </w:r>
    </w:p>
    <w:p w:rsidR="00C57491" w:rsidRPr="00D17757" w:rsidRDefault="00C57491" w:rsidP="00C57491">
      <w:pPr>
        <w:spacing w:line="240" w:lineRule="auto"/>
        <w:rPr>
          <w:sz w:val="16"/>
          <w:szCs w:val="16"/>
        </w:rPr>
      </w:pPr>
      <w:r w:rsidRPr="00D17757">
        <w:rPr>
          <w:sz w:val="16"/>
          <w:szCs w:val="16"/>
          <w:vertAlign w:val="superscript"/>
        </w:rPr>
        <w:t>2</w:t>
      </w:r>
      <w:r w:rsidRPr="00D17757">
        <w:rPr>
          <w:sz w:val="16"/>
          <w:szCs w:val="16"/>
        </w:rPr>
        <w:t>New Brunswick values from NB Dept. of Agriculture &amp; Aquaculture and represent salmon production only. Remainder of species determined to not be significant in the Bay of Fundy.</w:t>
      </w:r>
    </w:p>
    <w:p w:rsidR="00C57491" w:rsidRPr="00D17757" w:rsidRDefault="00C57491" w:rsidP="00C57491">
      <w:pPr>
        <w:spacing w:line="240" w:lineRule="auto"/>
        <w:rPr>
          <w:sz w:val="16"/>
          <w:szCs w:val="16"/>
        </w:rPr>
      </w:pPr>
      <w:r w:rsidRPr="00D17757">
        <w:rPr>
          <w:sz w:val="16"/>
          <w:szCs w:val="16"/>
          <w:vertAlign w:val="superscript"/>
        </w:rPr>
        <w:t>3</w:t>
      </w:r>
      <w:r w:rsidRPr="00D17757">
        <w:rPr>
          <w:sz w:val="16"/>
          <w:szCs w:val="16"/>
        </w:rPr>
        <w:t xml:space="preserve"> Maine values from Maine Department of Marine Resources and calculated utilizing data from lease holders. Data pre-2005 not included for shellfish as data deemed unreliable.</w:t>
      </w:r>
    </w:p>
    <w:p w:rsidR="00C57491" w:rsidRPr="00D17757" w:rsidRDefault="00C57491" w:rsidP="00C57491">
      <w:pPr>
        <w:spacing w:line="240" w:lineRule="auto"/>
        <w:rPr>
          <w:sz w:val="16"/>
          <w:szCs w:val="16"/>
        </w:rPr>
      </w:pPr>
      <w:r w:rsidRPr="00D17757">
        <w:rPr>
          <w:sz w:val="16"/>
          <w:szCs w:val="16"/>
          <w:vertAlign w:val="superscript"/>
        </w:rPr>
        <w:t>4</w:t>
      </w:r>
      <w:r w:rsidRPr="00D17757">
        <w:rPr>
          <w:sz w:val="16"/>
          <w:szCs w:val="16"/>
        </w:rPr>
        <w:t>New Hampshire values from NH Fish and Game utilizing reported sales of product.</w:t>
      </w:r>
    </w:p>
    <w:p w:rsidR="00C57491" w:rsidRPr="00D17757" w:rsidRDefault="00C57491" w:rsidP="00C57491">
      <w:pPr>
        <w:spacing w:line="240" w:lineRule="auto"/>
        <w:rPr>
          <w:sz w:val="16"/>
          <w:szCs w:val="16"/>
        </w:rPr>
      </w:pPr>
      <w:r w:rsidRPr="00D17757">
        <w:rPr>
          <w:sz w:val="16"/>
          <w:szCs w:val="16"/>
          <w:vertAlign w:val="superscript"/>
        </w:rPr>
        <w:t>5</w:t>
      </w:r>
      <w:r w:rsidRPr="00D17757">
        <w:rPr>
          <w:sz w:val="16"/>
          <w:szCs w:val="16"/>
        </w:rPr>
        <w:t>Massachusetts values from Massachusetts Division of Marine  Fisheries utilizing data reported by lease holders.</w:t>
      </w:r>
    </w:p>
    <w:p w:rsidR="00C57491" w:rsidRPr="00906FD5" w:rsidRDefault="00C57491"/>
    <w:p w:rsidR="00F76AE4" w:rsidRDefault="00F76AE4">
      <w:pPr>
        <w:rPr>
          <w:b/>
        </w:rPr>
      </w:pPr>
    </w:p>
    <w:p w:rsidR="00F76AE4" w:rsidRPr="00F76AE4" w:rsidRDefault="00F76AE4" w:rsidP="00F76AE4">
      <w:pPr>
        <w:rPr>
          <w:b/>
        </w:rPr>
      </w:pPr>
      <w:r>
        <w:rPr>
          <w:b/>
        </w:rPr>
        <w:lastRenderedPageBreak/>
        <w:t>Focus Box: What is IMTA?</w:t>
      </w:r>
    </w:p>
    <w:p w:rsidR="00F76AE4" w:rsidRPr="00F76AE4" w:rsidRDefault="00F76AE4" w:rsidP="00F76AE4">
      <w:r w:rsidRPr="00F76AE4">
        <w:t>Fulfilling aquaculture’s growth potential requires responsible technologies and practices. Sustainable aquaculture should be ecologically efficient, environmentally benign, product-diversified, profitable and beneficial</w:t>
      </w:r>
      <w:r>
        <w:t xml:space="preserve"> to society</w:t>
      </w:r>
      <w:r w:rsidRPr="00F76AE4">
        <w:t xml:space="preserve">. Integrated multi-trophic aquaculture (IMTA) has the potential to achieve these objectives by cultivating </w:t>
      </w:r>
      <w:r w:rsidR="00472937">
        <w:t>a primary crop</w:t>
      </w:r>
      <w:r w:rsidRPr="00F76AE4">
        <w:t xml:space="preserve"> species (e.g. finfish fed sustainable commercial diets) with extractive species, which utilize the inorganic </w:t>
      </w:r>
      <w:r w:rsidR="00472937">
        <w:t xml:space="preserve">nutrients </w:t>
      </w:r>
      <w:r w:rsidRPr="00F76AE4">
        <w:t>(e.g. seaweeds) and organic</w:t>
      </w:r>
      <w:r w:rsidR="00472937">
        <w:t xml:space="preserve"> particles</w:t>
      </w:r>
      <w:r w:rsidRPr="00F76AE4">
        <w:t xml:space="preserve"> (e.g. suspension- and deposit-feeders) excess nutrients from</w:t>
      </w:r>
      <w:r>
        <w:t xml:space="preserve"> aquaculture for their growth. </w:t>
      </w:r>
    </w:p>
    <w:p w:rsidR="00F76AE4" w:rsidRDefault="00F76AE4" w:rsidP="00F76AE4">
      <w:r>
        <w:t>By using IMTA systems</w:t>
      </w:r>
      <w:r w:rsidRPr="00F76AE4">
        <w:t xml:space="preserve">, extractive aquaculture produces </w:t>
      </w:r>
      <w:r w:rsidR="00472937">
        <w:t xml:space="preserve"> additional </w:t>
      </w:r>
      <w:r w:rsidRPr="00F76AE4">
        <w:t xml:space="preserve">valuable biomass, while simultaneously rendering </w:t>
      </w:r>
      <w:proofErr w:type="spellStart"/>
      <w:r w:rsidRPr="00F76AE4">
        <w:t>biomitigative</w:t>
      </w:r>
      <w:proofErr w:type="spellEnd"/>
      <w:r w:rsidRPr="00F76AE4">
        <w:t xml:space="preserve"> services. Through IMTA, some of the food, nutrients and by-products considered “lost” from the fed component are recaptured and converted into harvestable and healthy seafood of commercial value, while </w:t>
      </w:r>
      <w:proofErr w:type="spellStart"/>
      <w:r w:rsidRPr="00F76AE4">
        <w:t>biomitigation</w:t>
      </w:r>
      <w:proofErr w:type="spellEnd"/>
      <w:r w:rsidRPr="00F76AE4">
        <w:t xml:space="preserve"> takes place (partial removal of nutrients and CO</w:t>
      </w:r>
      <w:r w:rsidRPr="00AB10A5">
        <w:rPr>
          <w:vertAlign w:val="subscript"/>
        </w:rPr>
        <w:t>2</w:t>
      </w:r>
      <w:r w:rsidRPr="00F76AE4">
        <w:t>, and supplying of oxygen). In this way, some of the externalities of fed monoculture are internalized, hence increasing the overall sustainability, profitability and resilience of aquaculture farms.</w:t>
      </w:r>
    </w:p>
    <w:p w:rsidR="00131934" w:rsidRDefault="00131934" w:rsidP="00131934">
      <w:r>
        <w:t>IMTA is a</w:t>
      </w:r>
      <w:r w:rsidR="00DE7D54">
        <w:t>n emerging aquaculture practice</w:t>
      </w:r>
      <w:r>
        <w:t xml:space="preserve"> in the Western World and will certainly evolve as experience is gained.  Several areas in the Gulf of Maine are on the leading edge of research, development and commercialization of this concept, with IMTA systems permitted and implemented.</w:t>
      </w:r>
    </w:p>
    <w:p w:rsidR="008B0DA6" w:rsidRDefault="008B0DA6">
      <w:pPr>
        <w:rPr>
          <w:b/>
        </w:rPr>
      </w:pPr>
    </w:p>
    <w:p w:rsidR="008B0DA6" w:rsidRDefault="008B0DA6">
      <w:pPr>
        <w:rPr>
          <w:b/>
        </w:rPr>
      </w:pPr>
      <w:r w:rsidRPr="00906FD5">
        <w:rPr>
          <w:b/>
          <w:color w:val="FF0000"/>
        </w:rPr>
        <w:t>Page 3</w:t>
      </w:r>
      <w:r w:rsidR="005101D5">
        <w:rPr>
          <w:b/>
          <w:color w:val="FF0000"/>
        </w:rPr>
        <w:t xml:space="preserve"> </w:t>
      </w:r>
      <w:r w:rsidR="005101D5">
        <w:rPr>
          <w:b/>
        </w:rPr>
        <w:t xml:space="preserve">Indicator: </w:t>
      </w:r>
      <w:r w:rsidR="00E25054">
        <w:rPr>
          <w:b/>
        </w:rPr>
        <w:t xml:space="preserve">Acres </w:t>
      </w:r>
      <w:r w:rsidR="005101D5">
        <w:rPr>
          <w:b/>
        </w:rPr>
        <w:t>of permitted aquaculture</w:t>
      </w:r>
    </w:p>
    <w:p w:rsidR="006E6F03" w:rsidRDefault="006E6F03">
      <w:r>
        <w:t xml:space="preserve">The amount of acreage leased for aquaculture varies by State and Province in the Gulf of Maine. </w:t>
      </w:r>
      <w:r w:rsidR="00AB10A5">
        <w:t>Some states have m</w:t>
      </w:r>
      <w:r>
        <w:t xml:space="preserve">ore acres  under permit for shellfish production </w:t>
      </w:r>
      <w:r w:rsidR="00AB10A5">
        <w:t xml:space="preserve">such as </w:t>
      </w:r>
      <w:r>
        <w:t xml:space="preserve"> Massachusetts and Nova Scotia. The majority of leased area</w:t>
      </w:r>
      <w:r w:rsidR="003D26FA">
        <w:t>s</w:t>
      </w:r>
      <w:r>
        <w:t xml:space="preserve"> in New Brunswick is in finfish aquaculture. Maine has acres evenly divided between the two. For the length of records obtained there has been relatively little change in the amount of acreage leased.</w:t>
      </w:r>
    </w:p>
    <w:p w:rsidR="00FE611D" w:rsidRDefault="006E6F03">
      <w:r>
        <w:t>It</w:t>
      </w:r>
      <w:r w:rsidR="00472937">
        <w:t xml:space="preserve"> is</w:t>
      </w:r>
      <w:r>
        <w:t xml:space="preserve"> important to note that while the scale of aquaculture relative to the overall area of the Gulf of Maine is quite small (</w:t>
      </w:r>
      <w:r w:rsidR="00472937">
        <w:t xml:space="preserve">less than </w:t>
      </w:r>
      <w:r>
        <w:t xml:space="preserve">0.02%  of Bay of Fundy is leased for aquaculture) impacts at the local level may be </w:t>
      </w:r>
      <w:r w:rsidR="003D26FA">
        <w:t>significantly larger</w:t>
      </w:r>
      <w:r>
        <w:t xml:space="preserve">. For example, there </w:t>
      </w:r>
      <w:r w:rsidR="00AB10A5">
        <w:t xml:space="preserve">are </w:t>
      </w:r>
      <w:r w:rsidR="001B1F12">
        <w:t>130 acres leased</w:t>
      </w:r>
      <w:r>
        <w:t xml:space="preserve"> for shellfish production in </w:t>
      </w:r>
      <w:r w:rsidR="00BA73C1">
        <w:t xml:space="preserve">Maine's </w:t>
      </w:r>
      <w:r>
        <w:t>upper Damariscotta River</w:t>
      </w:r>
      <w:r w:rsidR="00AB10A5">
        <w:t xml:space="preserve"> alone</w:t>
      </w:r>
      <w:r>
        <w:t>.</w:t>
      </w:r>
      <w:r w:rsidR="00FE611D">
        <w:t xml:space="preserve"> Along with the private permitted growers in the Damariscotta</w:t>
      </w:r>
      <w:r w:rsidR="00583FE9">
        <w:t xml:space="preserve"> River</w:t>
      </w:r>
      <w:r w:rsidR="00FE611D">
        <w:t xml:space="preserve">, there is an interesting program </w:t>
      </w:r>
      <w:r w:rsidR="00583FE9">
        <w:t xml:space="preserve">underway on the river </w:t>
      </w:r>
      <w:r w:rsidR="00FE611D">
        <w:t xml:space="preserve">that allows residents to participate in growing oysters in a community "garden" run through the </w:t>
      </w:r>
      <w:r w:rsidR="00FE611D">
        <w:lastRenderedPageBreak/>
        <w:t>University of Maine, Maine Sea Grant Program, and Maine Aquaculture Innovation Center. This program helps to transfer knowledge and understanding of the different aspects of aquaculture</w:t>
      </w:r>
      <w:r w:rsidR="00A65573">
        <w:t xml:space="preserve"> and the river ecosystem</w:t>
      </w:r>
      <w:r w:rsidR="00FE611D">
        <w:t xml:space="preserve"> to the re</w:t>
      </w:r>
      <w:r w:rsidR="00F71087">
        <w:t>creational</w:t>
      </w:r>
      <w:r w:rsidR="00FE611D">
        <w:t xml:space="preserve"> community.</w:t>
      </w:r>
    </w:p>
    <w:p w:rsidR="006E6F03" w:rsidRDefault="006E6F03"/>
    <w:p w:rsidR="006E6F03" w:rsidRDefault="006E6F03"/>
    <w:p w:rsidR="006E6F03" w:rsidRPr="006E6F03" w:rsidRDefault="006E6F03"/>
    <w:p w:rsidR="00E25054" w:rsidRPr="00E25054" w:rsidRDefault="00E25054" w:rsidP="00E25054">
      <w:pPr>
        <w:rPr>
          <w:b/>
          <w:sz w:val="20"/>
          <w:szCs w:val="20"/>
        </w:rPr>
      </w:pPr>
      <w:r w:rsidRPr="00E25054">
        <w:rPr>
          <w:b/>
          <w:sz w:val="20"/>
          <w:szCs w:val="20"/>
        </w:rPr>
        <w:t xml:space="preserve">Acres leased for  Aquaculture - Finfish </w:t>
      </w:r>
    </w:p>
    <w:tbl>
      <w:tblPr>
        <w:tblStyle w:val="TableGrid"/>
        <w:tblW w:w="10623" w:type="dxa"/>
        <w:tblLayout w:type="fixed"/>
        <w:tblLook w:val="04A0"/>
      </w:tblPr>
      <w:tblGrid>
        <w:gridCol w:w="1769"/>
        <w:gridCol w:w="772"/>
        <w:gridCol w:w="772"/>
        <w:gridCol w:w="772"/>
        <w:gridCol w:w="772"/>
        <w:gridCol w:w="772"/>
        <w:gridCol w:w="772"/>
        <w:gridCol w:w="772"/>
        <w:gridCol w:w="772"/>
        <w:gridCol w:w="1134"/>
        <w:gridCol w:w="772"/>
        <w:gridCol w:w="772"/>
      </w:tblGrid>
      <w:tr w:rsidR="00E25054" w:rsidRPr="00E25054" w:rsidTr="000755D2">
        <w:trPr>
          <w:trHeight w:val="1282"/>
        </w:trPr>
        <w:tc>
          <w:tcPr>
            <w:tcW w:w="1769" w:type="dxa"/>
            <w:tcBorders>
              <w:bottom w:val="single" w:sz="4" w:space="0" w:color="000000" w:themeColor="text1"/>
            </w:tcBorders>
          </w:tcPr>
          <w:p w:rsidR="00E25054" w:rsidRPr="00E25054" w:rsidRDefault="00E25054" w:rsidP="00FE25FF">
            <w:pPr>
              <w:rPr>
                <w:b/>
                <w:sz w:val="20"/>
                <w:szCs w:val="20"/>
                <w:vertAlign w:val="superscript"/>
              </w:rPr>
            </w:pPr>
            <w:r w:rsidRPr="00E25054">
              <w:rPr>
                <w:b/>
                <w:sz w:val="20"/>
                <w:szCs w:val="20"/>
              </w:rPr>
              <w:t>State/Province</w:t>
            </w:r>
          </w:p>
        </w:tc>
        <w:tc>
          <w:tcPr>
            <w:tcW w:w="772" w:type="dxa"/>
          </w:tcPr>
          <w:p w:rsidR="00E25054" w:rsidRPr="00E25054" w:rsidRDefault="00E25054" w:rsidP="00FE25FF">
            <w:pPr>
              <w:jc w:val="center"/>
              <w:rPr>
                <w:b/>
                <w:sz w:val="20"/>
                <w:szCs w:val="20"/>
              </w:rPr>
            </w:pPr>
            <w:r w:rsidRPr="00E25054">
              <w:rPr>
                <w:b/>
                <w:sz w:val="20"/>
                <w:szCs w:val="20"/>
              </w:rPr>
              <w:t>1999</w:t>
            </w:r>
          </w:p>
        </w:tc>
        <w:tc>
          <w:tcPr>
            <w:tcW w:w="772" w:type="dxa"/>
          </w:tcPr>
          <w:p w:rsidR="00E25054" w:rsidRPr="00E25054" w:rsidRDefault="00E25054" w:rsidP="00FE25FF">
            <w:pPr>
              <w:jc w:val="center"/>
              <w:rPr>
                <w:b/>
                <w:sz w:val="20"/>
                <w:szCs w:val="20"/>
              </w:rPr>
            </w:pPr>
            <w:r w:rsidRPr="00E25054">
              <w:rPr>
                <w:b/>
                <w:sz w:val="20"/>
                <w:szCs w:val="20"/>
              </w:rPr>
              <w:t>2000</w:t>
            </w:r>
          </w:p>
        </w:tc>
        <w:tc>
          <w:tcPr>
            <w:tcW w:w="772" w:type="dxa"/>
          </w:tcPr>
          <w:p w:rsidR="00E25054" w:rsidRPr="00E25054" w:rsidRDefault="00E25054" w:rsidP="00FE25FF">
            <w:pPr>
              <w:jc w:val="center"/>
              <w:rPr>
                <w:b/>
                <w:sz w:val="20"/>
                <w:szCs w:val="20"/>
              </w:rPr>
            </w:pPr>
            <w:r w:rsidRPr="00E25054">
              <w:rPr>
                <w:b/>
                <w:sz w:val="20"/>
                <w:szCs w:val="20"/>
              </w:rPr>
              <w:t>2001</w:t>
            </w:r>
          </w:p>
        </w:tc>
        <w:tc>
          <w:tcPr>
            <w:tcW w:w="772" w:type="dxa"/>
          </w:tcPr>
          <w:p w:rsidR="00E25054" w:rsidRPr="00E25054" w:rsidRDefault="00E25054" w:rsidP="00FE25FF">
            <w:pPr>
              <w:jc w:val="center"/>
              <w:rPr>
                <w:b/>
                <w:sz w:val="20"/>
                <w:szCs w:val="20"/>
              </w:rPr>
            </w:pPr>
            <w:r w:rsidRPr="00E25054">
              <w:rPr>
                <w:b/>
                <w:sz w:val="20"/>
                <w:szCs w:val="20"/>
              </w:rPr>
              <w:t>2002</w:t>
            </w:r>
          </w:p>
        </w:tc>
        <w:tc>
          <w:tcPr>
            <w:tcW w:w="772" w:type="dxa"/>
          </w:tcPr>
          <w:p w:rsidR="00E25054" w:rsidRPr="00E25054" w:rsidRDefault="00E25054" w:rsidP="00FE25FF">
            <w:pPr>
              <w:jc w:val="center"/>
              <w:rPr>
                <w:b/>
                <w:sz w:val="20"/>
                <w:szCs w:val="20"/>
              </w:rPr>
            </w:pPr>
            <w:r w:rsidRPr="00E25054">
              <w:rPr>
                <w:b/>
                <w:sz w:val="20"/>
                <w:szCs w:val="20"/>
              </w:rPr>
              <w:t>2003</w:t>
            </w:r>
          </w:p>
        </w:tc>
        <w:tc>
          <w:tcPr>
            <w:tcW w:w="772" w:type="dxa"/>
          </w:tcPr>
          <w:p w:rsidR="00E25054" w:rsidRPr="00E25054" w:rsidRDefault="00E25054" w:rsidP="00FE25FF">
            <w:pPr>
              <w:jc w:val="center"/>
              <w:rPr>
                <w:b/>
                <w:sz w:val="20"/>
                <w:szCs w:val="20"/>
              </w:rPr>
            </w:pPr>
            <w:r w:rsidRPr="00E25054">
              <w:rPr>
                <w:b/>
                <w:sz w:val="20"/>
                <w:szCs w:val="20"/>
              </w:rPr>
              <w:t>2004</w:t>
            </w:r>
          </w:p>
        </w:tc>
        <w:tc>
          <w:tcPr>
            <w:tcW w:w="772" w:type="dxa"/>
          </w:tcPr>
          <w:p w:rsidR="00E25054" w:rsidRPr="00E25054" w:rsidRDefault="00E25054" w:rsidP="00FE25FF">
            <w:pPr>
              <w:jc w:val="center"/>
              <w:rPr>
                <w:b/>
                <w:sz w:val="20"/>
                <w:szCs w:val="20"/>
              </w:rPr>
            </w:pPr>
            <w:r w:rsidRPr="00E25054">
              <w:rPr>
                <w:b/>
                <w:sz w:val="20"/>
                <w:szCs w:val="20"/>
              </w:rPr>
              <w:t>2005</w:t>
            </w:r>
          </w:p>
        </w:tc>
        <w:tc>
          <w:tcPr>
            <w:tcW w:w="772" w:type="dxa"/>
          </w:tcPr>
          <w:p w:rsidR="00E25054" w:rsidRPr="00E25054" w:rsidRDefault="00E25054" w:rsidP="00FE25FF">
            <w:pPr>
              <w:jc w:val="center"/>
              <w:rPr>
                <w:b/>
                <w:sz w:val="20"/>
                <w:szCs w:val="20"/>
              </w:rPr>
            </w:pPr>
            <w:r w:rsidRPr="00E25054">
              <w:rPr>
                <w:b/>
                <w:sz w:val="20"/>
                <w:szCs w:val="20"/>
              </w:rPr>
              <w:t>2006</w:t>
            </w:r>
          </w:p>
        </w:tc>
        <w:tc>
          <w:tcPr>
            <w:tcW w:w="1134" w:type="dxa"/>
          </w:tcPr>
          <w:p w:rsidR="00E25054" w:rsidRPr="00E25054" w:rsidRDefault="00E25054" w:rsidP="00FE25FF">
            <w:pPr>
              <w:jc w:val="center"/>
              <w:rPr>
                <w:b/>
                <w:sz w:val="20"/>
                <w:szCs w:val="20"/>
              </w:rPr>
            </w:pPr>
            <w:r w:rsidRPr="00E25054">
              <w:rPr>
                <w:b/>
                <w:sz w:val="20"/>
                <w:szCs w:val="20"/>
              </w:rPr>
              <w:t>2007</w:t>
            </w:r>
          </w:p>
        </w:tc>
        <w:tc>
          <w:tcPr>
            <w:tcW w:w="772" w:type="dxa"/>
          </w:tcPr>
          <w:p w:rsidR="00E25054" w:rsidRPr="00E25054" w:rsidRDefault="00E25054" w:rsidP="00FE25FF">
            <w:pPr>
              <w:jc w:val="center"/>
              <w:rPr>
                <w:b/>
                <w:sz w:val="20"/>
                <w:szCs w:val="20"/>
              </w:rPr>
            </w:pPr>
            <w:r w:rsidRPr="00E25054">
              <w:rPr>
                <w:b/>
                <w:sz w:val="20"/>
                <w:szCs w:val="20"/>
              </w:rPr>
              <w:t>2008</w:t>
            </w:r>
          </w:p>
        </w:tc>
        <w:tc>
          <w:tcPr>
            <w:tcW w:w="772" w:type="dxa"/>
          </w:tcPr>
          <w:p w:rsidR="00E25054" w:rsidRPr="00E25054" w:rsidRDefault="00E25054" w:rsidP="00FE25FF">
            <w:pPr>
              <w:jc w:val="center"/>
              <w:rPr>
                <w:b/>
                <w:sz w:val="20"/>
                <w:szCs w:val="20"/>
              </w:rPr>
            </w:pPr>
            <w:r w:rsidRPr="00E25054">
              <w:rPr>
                <w:b/>
                <w:sz w:val="20"/>
                <w:szCs w:val="20"/>
              </w:rPr>
              <w:t>2009</w:t>
            </w:r>
          </w:p>
        </w:tc>
      </w:tr>
      <w:tr w:rsidR="00E25054" w:rsidRPr="00E25054" w:rsidTr="000755D2">
        <w:trPr>
          <w:trHeight w:val="384"/>
        </w:trPr>
        <w:tc>
          <w:tcPr>
            <w:tcW w:w="1769" w:type="dxa"/>
            <w:tcBorders>
              <w:bottom w:val="nil"/>
            </w:tcBorders>
          </w:tcPr>
          <w:p w:rsidR="00E25054" w:rsidRPr="00E25054" w:rsidRDefault="00E25054" w:rsidP="00FE25FF">
            <w:pPr>
              <w:rPr>
                <w:b/>
                <w:sz w:val="20"/>
                <w:szCs w:val="20"/>
                <w:vertAlign w:val="superscript"/>
              </w:rPr>
            </w:pPr>
            <w:r w:rsidRPr="00E25054">
              <w:rPr>
                <w:b/>
                <w:sz w:val="20"/>
                <w:szCs w:val="20"/>
              </w:rPr>
              <w:t xml:space="preserve">Nova Scotia </w:t>
            </w:r>
            <w:r w:rsidRPr="00E25054">
              <w:rPr>
                <w:b/>
                <w:sz w:val="20"/>
                <w:szCs w:val="20"/>
                <w:vertAlign w:val="superscript"/>
              </w:rPr>
              <w:t>1</w:t>
            </w:r>
          </w:p>
        </w:tc>
        <w:tc>
          <w:tcPr>
            <w:tcW w:w="772" w:type="dxa"/>
            <w:tcBorders>
              <w:bottom w:val="single" w:sz="4" w:space="0" w:color="000000" w:themeColor="text1"/>
            </w:tcBorders>
          </w:tcPr>
          <w:p w:rsidR="00E25054" w:rsidRPr="00E25054" w:rsidRDefault="00E25054" w:rsidP="00FE25FF">
            <w:pPr>
              <w:jc w:val="center"/>
              <w:rPr>
                <w:sz w:val="20"/>
                <w:szCs w:val="20"/>
              </w:rPr>
            </w:pPr>
          </w:p>
        </w:tc>
        <w:tc>
          <w:tcPr>
            <w:tcW w:w="772" w:type="dxa"/>
            <w:tcBorders>
              <w:bottom w:val="single" w:sz="4" w:space="0" w:color="000000" w:themeColor="text1"/>
            </w:tcBorders>
          </w:tcPr>
          <w:p w:rsidR="00E25054" w:rsidRPr="00E25054" w:rsidRDefault="00E25054" w:rsidP="00FE25FF">
            <w:pPr>
              <w:jc w:val="center"/>
              <w:rPr>
                <w:sz w:val="20"/>
                <w:szCs w:val="20"/>
              </w:rPr>
            </w:pPr>
          </w:p>
        </w:tc>
        <w:tc>
          <w:tcPr>
            <w:tcW w:w="772" w:type="dxa"/>
            <w:tcBorders>
              <w:bottom w:val="single" w:sz="4" w:space="0" w:color="000000" w:themeColor="text1"/>
            </w:tcBorders>
          </w:tcPr>
          <w:p w:rsidR="00E25054" w:rsidRPr="00E25054" w:rsidRDefault="00E25054" w:rsidP="00FE25FF">
            <w:pPr>
              <w:jc w:val="center"/>
              <w:rPr>
                <w:sz w:val="20"/>
                <w:szCs w:val="20"/>
              </w:rPr>
            </w:pPr>
          </w:p>
        </w:tc>
        <w:tc>
          <w:tcPr>
            <w:tcW w:w="772" w:type="dxa"/>
            <w:tcBorders>
              <w:bottom w:val="single" w:sz="4" w:space="0" w:color="000000" w:themeColor="text1"/>
            </w:tcBorders>
          </w:tcPr>
          <w:p w:rsidR="00E25054" w:rsidRPr="00E25054" w:rsidRDefault="00E25054" w:rsidP="00FE25FF">
            <w:pPr>
              <w:jc w:val="center"/>
              <w:rPr>
                <w:sz w:val="20"/>
                <w:szCs w:val="20"/>
              </w:rPr>
            </w:pPr>
          </w:p>
        </w:tc>
        <w:tc>
          <w:tcPr>
            <w:tcW w:w="772" w:type="dxa"/>
            <w:tcBorders>
              <w:bottom w:val="single" w:sz="4" w:space="0" w:color="000000" w:themeColor="text1"/>
            </w:tcBorders>
          </w:tcPr>
          <w:p w:rsidR="00E25054" w:rsidRPr="00E25054" w:rsidRDefault="00E25054" w:rsidP="00FE25FF">
            <w:pPr>
              <w:jc w:val="center"/>
              <w:rPr>
                <w:sz w:val="20"/>
                <w:szCs w:val="20"/>
              </w:rPr>
            </w:pPr>
          </w:p>
        </w:tc>
        <w:tc>
          <w:tcPr>
            <w:tcW w:w="772" w:type="dxa"/>
            <w:tcBorders>
              <w:bottom w:val="single" w:sz="4" w:space="0" w:color="000000" w:themeColor="text1"/>
            </w:tcBorders>
          </w:tcPr>
          <w:p w:rsidR="00E25054" w:rsidRPr="00E25054" w:rsidRDefault="00E25054" w:rsidP="00FE25FF">
            <w:pPr>
              <w:jc w:val="center"/>
              <w:rPr>
                <w:sz w:val="20"/>
                <w:szCs w:val="20"/>
              </w:rPr>
            </w:pPr>
          </w:p>
        </w:tc>
        <w:tc>
          <w:tcPr>
            <w:tcW w:w="772" w:type="dxa"/>
            <w:tcBorders>
              <w:bottom w:val="single" w:sz="4" w:space="0" w:color="000000" w:themeColor="text1"/>
            </w:tcBorders>
          </w:tcPr>
          <w:p w:rsidR="00E25054" w:rsidRPr="00E25054" w:rsidRDefault="00E25054" w:rsidP="00FE25FF">
            <w:pPr>
              <w:jc w:val="center"/>
              <w:rPr>
                <w:sz w:val="20"/>
                <w:szCs w:val="20"/>
              </w:rPr>
            </w:pPr>
          </w:p>
        </w:tc>
        <w:tc>
          <w:tcPr>
            <w:tcW w:w="772" w:type="dxa"/>
            <w:tcBorders>
              <w:bottom w:val="single" w:sz="4" w:space="0" w:color="000000" w:themeColor="text1"/>
            </w:tcBorders>
          </w:tcPr>
          <w:p w:rsidR="00E25054" w:rsidRPr="00E25054" w:rsidRDefault="00E25054" w:rsidP="00FE25FF">
            <w:pPr>
              <w:jc w:val="center"/>
              <w:rPr>
                <w:sz w:val="20"/>
                <w:szCs w:val="20"/>
              </w:rPr>
            </w:pPr>
          </w:p>
        </w:tc>
        <w:tc>
          <w:tcPr>
            <w:tcW w:w="1134" w:type="dxa"/>
            <w:tcBorders>
              <w:bottom w:val="single" w:sz="4" w:space="0" w:color="000000" w:themeColor="text1"/>
            </w:tcBorders>
          </w:tcPr>
          <w:p w:rsidR="00E25054" w:rsidRPr="00E25054" w:rsidRDefault="00E25054" w:rsidP="00FE25FF">
            <w:pPr>
              <w:jc w:val="center"/>
              <w:rPr>
                <w:sz w:val="20"/>
                <w:szCs w:val="20"/>
              </w:rPr>
            </w:pPr>
          </w:p>
        </w:tc>
        <w:tc>
          <w:tcPr>
            <w:tcW w:w="772"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249</w:t>
            </w:r>
          </w:p>
        </w:tc>
        <w:tc>
          <w:tcPr>
            <w:tcW w:w="772"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249</w:t>
            </w:r>
          </w:p>
        </w:tc>
      </w:tr>
      <w:tr w:rsidR="00E25054" w:rsidRPr="00E25054" w:rsidTr="000755D2">
        <w:trPr>
          <w:trHeight w:val="200"/>
        </w:trPr>
        <w:tc>
          <w:tcPr>
            <w:tcW w:w="1769" w:type="dxa"/>
          </w:tcPr>
          <w:p w:rsidR="00E25054" w:rsidRPr="00E25054" w:rsidRDefault="00E25054" w:rsidP="00FE25FF">
            <w:pPr>
              <w:rPr>
                <w:b/>
                <w:sz w:val="20"/>
                <w:szCs w:val="20"/>
                <w:vertAlign w:val="superscript"/>
              </w:rPr>
            </w:pPr>
            <w:r w:rsidRPr="00E25054">
              <w:rPr>
                <w:b/>
                <w:sz w:val="20"/>
                <w:szCs w:val="20"/>
              </w:rPr>
              <w:t>New Brunswick</w:t>
            </w:r>
            <w:r w:rsidRPr="00E25054">
              <w:rPr>
                <w:b/>
                <w:sz w:val="20"/>
                <w:szCs w:val="20"/>
                <w:vertAlign w:val="superscript"/>
              </w:rPr>
              <w:t>2</w:t>
            </w:r>
          </w:p>
        </w:tc>
        <w:tc>
          <w:tcPr>
            <w:tcW w:w="772" w:type="dxa"/>
            <w:tcBorders>
              <w:bottom w:val="single" w:sz="4" w:space="0" w:color="000000" w:themeColor="text1"/>
            </w:tcBorders>
          </w:tcPr>
          <w:p w:rsidR="00E25054" w:rsidRPr="00E25054" w:rsidRDefault="00E25054" w:rsidP="00FE25FF">
            <w:pPr>
              <w:jc w:val="center"/>
              <w:rPr>
                <w:sz w:val="20"/>
                <w:szCs w:val="20"/>
              </w:rPr>
            </w:pPr>
          </w:p>
        </w:tc>
        <w:tc>
          <w:tcPr>
            <w:tcW w:w="772" w:type="dxa"/>
            <w:tcBorders>
              <w:bottom w:val="single" w:sz="4" w:space="0" w:color="000000" w:themeColor="text1"/>
            </w:tcBorders>
          </w:tcPr>
          <w:p w:rsidR="00E25054" w:rsidRPr="00E25054" w:rsidRDefault="00E25054" w:rsidP="00FE25FF">
            <w:pPr>
              <w:jc w:val="center"/>
              <w:rPr>
                <w:sz w:val="20"/>
                <w:szCs w:val="20"/>
              </w:rPr>
            </w:pPr>
          </w:p>
        </w:tc>
        <w:tc>
          <w:tcPr>
            <w:tcW w:w="772" w:type="dxa"/>
            <w:tcBorders>
              <w:bottom w:val="single" w:sz="4" w:space="0" w:color="000000" w:themeColor="text1"/>
            </w:tcBorders>
          </w:tcPr>
          <w:p w:rsidR="00E25054" w:rsidRPr="00E25054" w:rsidRDefault="00E25054" w:rsidP="00FE25FF">
            <w:pPr>
              <w:jc w:val="center"/>
              <w:rPr>
                <w:sz w:val="20"/>
                <w:szCs w:val="20"/>
              </w:rPr>
            </w:pPr>
          </w:p>
        </w:tc>
        <w:tc>
          <w:tcPr>
            <w:tcW w:w="772"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3766</w:t>
            </w:r>
          </w:p>
        </w:tc>
        <w:tc>
          <w:tcPr>
            <w:tcW w:w="772"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3773</w:t>
            </w:r>
          </w:p>
        </w:tc>
        <w:tc>
          <w:tcPr>
            <w:tcW w:w="772"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3868</w:t>
            </w:r>
          </w:p>
        </w:tc>
        <w:tc>
          <w:tcPr>
            <w:tcW w:w="772"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3805</w:t>
            </w:r>
          </w:p>
        </w:tc>
        <w:tc>
          <w:tcPr>
            <w:tcW w:w="772"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3800</w:t>
            </w:r>
          </w:p>
        </w:tc>
        <w:tc>
          <w:tcPr>
            <w:tcW w:w="1134"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3870</w:t>
            </w:r>
          </w:p>
        </w:tc>
        <w:tc>
          <w:tcPr>
            <w:tcW w:w="772"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3539</w:t>
            </w:r>
          </w:p>
        </w:tc>
        <w:tc>
          <w:tcPr>
            <w:tcW w:w="772" w:type="dxa"/>
            <w:tcBorders>
              <w:bottom w:val="single" w:sz="4" w:space="0" w:color="000000" w:themeColor="text1"/>
            </w:tcBorders>
          </w:tcPr>
          <w:p w:rsidR="00E25054" w:rsidRPr="00E25054" w:rsidRDefault="00E25054" w:rsidP="00FE25FF">
            <w:pPr>
              <w:jc w:val="center"/>
              <w:rPr>
                <w:sz w:val="20"/>
                <w:szCs w:val="20"/>
              </w:rPr>
            </w:pPr>
          </w:p>
        </w:tc>
      </w:tr>
      <w:tr w:rsidR="00E25054" w:rsidRPr="00E25054" w:rsidTr="000755D2">
        <w:trPr>
          <w:trHeight w:val="185"/>
        </w:trPr>
        <w:tc>
          <w:tcPr>
            <w:tcW w:w="1769" w:type="dxa"/>
          </w:tcPr>
          <w:p w:rsidR="00E25054" w:rsidRPr="00E25054" w:rsidRDefault="00E25054" w:rsidP="00FE25FF">
            <w:pPr>
              <w:rPr>
                <w:b/>
                <w:sz w:val="20"/>
                <w:szCs w:val="20"/>
                <w:vertAlign w:val="superscript"/>
              </w:rPr>
            </w:pPr>
            <w:r w:rsidRPr="00E25054">
              <w:rPr>
                <w:b/>
                <w:sz w:val="20"/>
                <w:szCs w:val="20"/>
              </w:rPr>
              <w:t>Maine</w:t>
            </w:r>
            <w:r w:rsidRPr="00E25054">
              <w:rPr>
                <w:b/>
                <w:sz w:val="20"/>
                <w:szCs w:val="20"/>
                <w:vertAlign w:val="superscript"/>
              </w:rPr>
              <w:t>3</w:t>
            </w:r>
          </w:p>
        </w:tc>
        <w:tc>
          <w:tcPr>
            <w:tcW w:w="772"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738</w:t>
            </w:r>
          </w:p>
        </w:tc>
        <w:tc>
          <w:tcPr>
            <w:tcW w:w="772"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750</w:t>
            </w:r>
          </w:p>
        </w:tc>
        <w:tc>
          <w:tcPr>
            <w:tcW w:w="772"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250</w:t>
            </w:r>
          </w:p>
        </w:tc>
        <w:tc>
          <w:tcPr>
            <w:tcW w:w="772"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745</w:t>
            </w:r>
          </w:p>
        </w:tc>
        <w:tc>
          <w:tcPr>
            <w:tcW w:w="772"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745</w:t>
            </w:r>
          </w:p>
        </w:tc>
        <w:tc>
          <w:tcPr>
            <w:tcW w:w="772"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759</w:t>
            </w:r>
          </w:p>
        </w:tc>
        <w:tc>
          <w:tcPr>
            <w:tcW w:w="772"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708</w:t>
            </w:r>
          </w:p>
        </w:tc>
        <w:tc>
          <w:tcPr>
            <w:tcW w:w="772"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604</w:t>
            </w:r>
          </w:p>
        </w:tc>
        <w:tc>
          <w:tcPr>
            <w:tcW w:w="1134"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615</w:t>
            </w:r>
          </w:p>
        </w:tc>
        <w:tc>
          <w:tcPr>
            <w:tcW w:w="772"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636</w:t>
            </w:r>
          </w:p>
        </w:tc>
        <w:tc>
          <w:tcPr>
            <w:tcW w:w="772"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650</w:t>
            </w:r>
          </w:p>
        </w:tc>
      </w:tr>
      <w:tr w:rsidR="00E25054" w:rsidRPr="00E25054" w:rsidTr="000755D2">
        <w:trPr>
          <w:trHeight w:val="200"/>
        </w:trPr>
        <w:tc>
          <w:tcPr>
            <w:tcW w:w="1769" w:type="dxa"/>
          </w:tcPr>
          <w:p w:rsidR="00E25054" w:rsidRPr="00E25054" w:rsidRDefault="00E25054" w:rsidP="00FE25FF">
            <w:pPr>
              <w:rPr>
                <w:b/>
                <w:sz w:val="20"/>
                <w:szCs w:val="20"/>
                <w:vertAlign w:val="superscript"/>
              </w:rPr>
            </w:pPr>
            <w:r w:rsidRPr="00E25054">
              <w:rPr>
                <w:b/>
                <w:sz w:val="20"/>
                <w:szCs w:val="20"/>
              </w:rPr>
              <w:t>New Hampshire</w:t>
            </w:r>
            <w:r w:rsidRPr="00E25054">
              <w:rPr>
                <w:b/>
                <w:sz w:val="20"/>
                <w:szCs w:val="20"/>
                <w:vertAlign w:val="superscript"/>
              </w:rPr>
              <w:t>4</w:t>
            </w:r>
          </w:p>
        </w:tc>
        <w:tc>
          <w:tcPr>
            <w:tcW w:w="772" w:type="dxa"/>
            <w:tcBorders>
              <w:bottom w:val="single" w:sz="4" w:space="0" w:color="000000" w:themeColor="text1"/>
            </w:tcBorders>
          </w:tcPr>
          <w:p w:rsidR="00E25054" w:rsidRPr="00E25054" w:rsidRDefault="00E25054" w:rsidP="00FE25FF">
            <w:pPr>
              <w:jc w:val="center"/>
              <w:rPr>
                <w:sz w:val="20"/>
                <w:szCs w:val="20"/>
              </w:rPr>
            </w:pPr>
          </w:p>
        </w:tc>
        <w:tc>
          <w:tcPr>
            <w:tcW w:w="772" w:type="dxa"/>
            <w:tcBorders>
              <w:bottom w:val="single" w:sz="4" w:space="0" w:color="000000" w:themeColor="text1"/>
            </w:tcBorders>
          </w:tcPr>
          <w:p w:rsidR="00E25054" w:rsidRPr="00E25054" w:rsidRDefault="00E25054" w:rsidP="00FE25FF">
            <w:pPr>
              <w:jc w:val="center"/>
              <w:rPr>
                <w:sz w:val="20"/>
                <w:szCs w:val="20"/>
              </w:rPr>
            </w:pPr>
          </w:p>
        </w:tc>
        <w:tc>
          <w:tcPr>
            <w:tcW w:w="772" w:type="dxa"/>
            <w:tcBorders>
              <w:bottom w:val="single" w:sz="4" w:space="0" w:color="000000" w:themeColor="text1"/>
            </w:tcBorders>
          </w:tcPr>
          <w:p w:rsidR="00E25054" w:rsidRPr="00E25054" w:rsidRDefault="00E25054" w:rsidP="00FE25FF">
            <w:pPr>
              <w:jc w:val="center"/>
              <w:rPr>
                <w:sz w:val="20"/>
                <w:szCs w:val="20"/>
              </w:rPr>
            </w:pPr>
          </w:p>
        </w:tc>
        <w:tc>
          <w:tcPr>
            <w:tcW w:w="772" w:type="dxa"/>
            <w:tcBorders>
              <w:bottom w:val="single" w:sz="4" w:space="0" w:color="000000" w:themeColor="text1"/>
            </w:tcBorders>
          </w:tcPr>
          <w:p w:rsidR="00E25054" w:rsidRPr="00E25054" w:rsidRDefault="00E25054" w:rsidP="00FE25FF">
            <w:pPr>
              <w:jc w:val="center"/>
              <w:rPr>
                <w:sz w:val="20"/>
                <w:szCs w:val="20"/>
              </w:rPr>
            </w:pPr>
          </w:p>
        </w:tc>
        <w:tc>
          <w:tcPr>
            <w:tcW w:w="772" w:type="dxa"/>
            <w:tcBorders>
              <w:bottom w:val="single" w:sz="4" w:space="0" w:color="000000" w:themeColor="text1"/>
            </w:tcBorders>
          </w:tcPr>
          <w:p w:rsidR="00E25054" w:rsidRPr="00E25054" w:rsidRDefault="00E25054" w:rsidP="00FE25FF">
            <w:pPr>
              <w:jc w:val="center"/>
              <w:rPr>
                <w:sz w:val="20"/>
                <w:szCs w:val="20"/>
              </w:rPr>
            </w:pPr>
          </w:p>
        </w:tc>
        <w:tc>
          <w:tcPr>
            <w:tcW w:w="772" w:type="dxa"/>
            <w:tcBorders>
              <w:bottom w:val="single" w:sz="4" w:space="0" w:color="000000" w:themeColor="text1"/>
            </w:tcBorders>
          </w:tcPr>
          <w:p w:rsidR="00E25054" w:rsidRPr="00E25054" w:rsidRDefault="00E25054" w:rsidP="00FE25FF">
            <w:pPr>
              <w:jc w:val="center"/>
              <w:rPr>
                <w:sz w:val="20"/>
                <w:szCs w:val="20"/>
              </w:rPr>
            </w:pPr>
          </w:p>
        </w:tc>
        <w:tc>
          <w:tcPr>
            <w:tcW w:w="772"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30</w:t>
            </w:r>
          </w:p>
        </w:tc>
        <w:tc>
          <w:tcPr>
            <w:tcW w:w="772"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30</w:t>
            </w:r>
          </w:p>
        </w:tc>
        <w:tc>
          <w:tcPr>
            <w:tcW w:w="1134"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30</w:t>
            </w:r>
          </w:p>
        </w:tc>
        <w:tc>
          <w:tcPr>
            <w:tcW w:w="772"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30</w:t>
            </w:r>
          </w:p>
        </w:tc>
        <w:tc>
          <w:tcPr>
            <w:tcW w:w="772"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0</w:t>
            </w:r>
          </w:p>
        </w:tc>
      </w:tr>
      <w:tr w:rsidR="00E25054" w:rsidRPr="00E25054" w:rsidTr="000755D2">
        <w:trPr>
          <w:trHeight w:val="368"/>
        </w:trPr>
        <w:tc>
          <w:tcPr>
            <w:tcW w:w="1769" w:type="dxa"/>
          </w:tcPr>
          <w:p w:rsidR="00E25054" w:rsidRPr="00E25054" w:rsidRDefault="00E25054" w:rsidP="00FE25FF">
            <w:pPr>
              <w:rPr>
                <w:b/>
                <w:sz w:val="20"/>
                <w:szCs w:val="20"/>
                <w:vertAlign w:val="superscript"/>
              </w:rPr>
            </w:pPr>
            <w:r w:rsidRPr="00E25054">
              <w:rPr>
                <w:b/>
                <w:sz w:val="20"/>
                <w:szCs w:val="20"/>
              </w:rPr>
              <w:t>Massachusetts</w:t>
            </w:r>
            <w:r w:rsidRPr="00E25054">
              <w:rPr>
                <w:b/>
                <w:sz w:val="20"/>
                <w:szCs w:val="20"/>
                <w:vertAlign w:val="superscript"/>
              </w:rPr>
              <w:t>5</w:t>
            </w:r>
          </w:p>
        </w:tc>
        <w:tc>
          <w:tcPr>
            <w:tcW w:w="772"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0</w:t>
            </w:r>
          </w:p>
        </w:tc>
        <w:tc>
          <w:tcPr>
            <w:tcW w:w="772" w:type="dxa"/>
            <w:tcBorders>
              <w:bottom w:val="single" w:sz="4" w:space="0" w:color="000000" w:themeColor="text1"/>
            </w:tcBorders>
          </w:tcPr>
          <w:p w:rsidR="00E25054" w:rsidRPr="00E25054" w:rsidRDefault="00E25054" w:rsidP="00FE25FF">
            <w:pPr>
              <w:jc w:val="center"/>
              <w:rPr>
                <w:sz w:val="20"/>
                <w:szCs w:val="20"/>
              </w:rPr>
            </w:pPr>
          </w:p>
        </w:tc>
        <w:tc>
          <w:tcPr>
            <w:tcW w:w="772" w:type="dxa"/>
            <w:tcBorders>
              <w:bottom w:val="single" w:sz="4" w:space="0" w:color="000000" w:themeColor="text1"/>
            </w:tcBorders>
          </w:tcPr>
          <w:p w:rsidR="00E25054" w:rsidRPr="00E25054" w:rsidRDefault="00E25054" w:rsidP="00FE25FF">
            <w:pPr>
              <w:jc w:val="center"/>
              <w:rPr>
                <w:sz w:val="20"/>
                <w:szCs w:val="20"/>
              </w:rPr>
            </w:pPr>
          </w:p>
        </w:tc>
        <w:tc>
          <w:tcPr>
            <w:tcW w:w="772"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0</w:t>
            </w:r>
          </w:p>
        </w:tc>
        <w:tc>
          <w:tcPr>
            <w:tcW w:w="772"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0</w:t>
            </w:r>
          </w:p>
        </w:tc>
        <w:tc>
          <w:tcPr>
            <w:tcW w:w="772"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0</w:t>
            </w:r>
          </w:p>
        </w:tc>
        <w:tc>
          <w:tcPr>
            <w:tcW w:w="772"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0</w:t>
            </w:r>
          </w:p>
        </w:tc>
        <w:tc>
          <w:tcPr>
            <w:tcW w:w="772"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0</w:t>
            </w:r>
          </w:p>
        </w:tc>
        <w:tc>
          <w:tcPr>
            <w:tcW w:w="1134"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0</w:t>
            </w:r>
          </w:p>
        </w:tc>
        <w:tc>
          <w:tcPr>
            <w:tcW w:w="772" w:type="dxa"/>
            <w:tcBorders>
              <w:bottom w:val="single" w:sz="4" w:space="0" w:color="000000" w:themeColor="text1"/>
            </w:tcBorders>
          </w:tcPr>
          <w:p w:rsidR="00E25054" w:rsidRPr="00E25054" w:rsidRDefault="00E25054" w:rsidP="00FE25FF">
            <w:pPr>
              <w:jc w:val="center"/>
              <w:rPr>
                <w:sz w:val="20"/>
                <w:szCs w:val="20"/>
              </w:rPr>
            </w:pPr>
          </w:p>
        </w:tc>
        <w:tc>
          <w:tcPr>
            <w:tcW w:w="772" w:type="dxa"/>
            <w:tcBorders>
              <w:bottom w:val="single" w:sz="4" w:space="0" w:color="000000" w:themeColor="text1"/>
            </w:tcBorders>
          </w:tcPr>
          <w:p w:rsidR="00E25054" w:rsidRPr="00E25054" w:rsidRDefault="00E25054" w:rsidP="00FE25FF">
            <w:pPr>
              <w:jc w:val="center"/>
              <w:rPr>
                <w:sz w:val="20"/>
                <w:szCs w:val="20"/>
              </w:rPr>
            </w:pPr>
          </w:p>
        </w:tc>
      </w:tr>
    </w:tbl>
    <w:p w:rsidR="00E25054" w:rsidRPr="00C61C85" w:rsidRDefault="00E25054" w:rsidP="00E25054"/>
    <w:p w:rsidR="00E25054" w:rsidRPr="00E25054" w:rsidRDefault="00E25054" w:rsidP="00E25054">
      <w:pPr>
        <w:spacing w:line="240" w:lineRule="auto"/>
        <w:rPr>
          <w:i/>
          <w:sz w:val="18"/>
          <w:szCs w:val="18"/>
        </w:rPr>
      </w:pPr>
      <w:r w:rsidRPr="00E25054">
        <w:rPr>
          <w:i/>
          <w:sz w:val="18"/>
          <w:szCs w:val="18"/>
          <w:vertAlign w:val="superscript"/>
        </w:rPr>
        <w:t>1</w:t>
      </w:r>
      <w:r w:rsidRPr="00E25054">
        <w:rPr>
          <w:i/>
          <w:sz w:val="18"/>
          <w:szCs w:val="18"/>
        </w:rPr>
        <w:t xml:space="preserve"> Nova Scotia values from NS Department of Fisheries and Aquaculture.</w:t>
      </w:r>
    </w:p>
    <w:p w:rsidR="00E25054" w:rsidRPr="00E25054" w:rsidRDefault="00E25054" w:rsidP="00E25054">
      <w:pPr>
        <w:spacing w:line="240" w:lineRule="auto"/>
        <w:rPr>
          <w:i/>
          <w:sz w:val="18"/>
          <w:szCs w:val="18"/>
        </w:rPr>
      </w:pPr>
      <w:r w:rsidRPr="00E25054">
        <w:rPr>
          <w:i/>
          <w:sz w:val="18"/>
          <w:szCs w:val="18"/>
          <w:vertAlign w:val="superscript"/>
        </w:rPr>
        <w:t>2</w:t>
      </w:r>
      <w:r w:rsidRPr="00E25054">
        <w:rPr>
          <w:i/>
          <w:sz w:val="18"/>
          <w:szCs w:val="18"/>
        </w:rPr>
        <w:t>New Brunswick values from NB Dept. of Agriculture &amp; Aquaculture.</w:t>
      </w:r>
    </w:p>
    <w:p w:rsidR="00E25054" w:rsidRPr="00E25054" w:rsidRDefault="00E25054" w:rsidP="00E25054">
      <w:pPr>
        <w:spacing w:line="240" w:lineRule="auto"/>
        <w:rPr>
          <w:i/>
          <w:sz w:val="18"/>
          <w:szCs w:val="18"/>
        </w:rPr>
      </w:pPr>
      <w:r w:rsidRPr="00E25054">
        <w:rPr>
          <w:i/>
          <w:sz w:val="18"/>
          <w:szCs w:val="18"/>
          <w:vertAlign w:val="superscript"/>
        </w:rPr>
        <w:t>3</w:t>
      </w:r>
      <w:r w:rsidRPr="00E25054">
        <w:rPr>
          <w:i/>
          <w:sz w:val="18"/>
          <w:szCs w:val="18"/>
        </w:rPr>
        <w:t xml:space="preserve"> Maine values from Maine Department of Marine Resources.</w:t>
      </w:r>
    </w:p>
    <w:p w:rsidR="00E25054" w:rsidRPr="00E25054" w:rsidRDefault="00E25054" w:rsidP="00E25054">
      <w:pPr>
        <w:spacing w:line="240" w:lineRule="auto"/>
        <w:rPr>
          <w:i/>
          <w:sz w:val="18"/>
          <w:szCs w:val="18"/>
        </w:rPr>
      </w:pPr>
      <w:r w:rsidRPr="00E25054">
        <w:rPr>
          <w:i/>
          <w:sz w:val="18"/>
          <w:szCs w:val="18"/>
          <w:vertAlign w:val="superscript"/>
        </w:rPr>
        <w:t>4</w:t>
      </w:r>
      <w:r w:rsidRPr="00E25054">
        <w:rPr>
          <w:i/>
          <w:sz w:val="18"/>
          <w:szCs w:val="18"/>
        </w:rPr>
        <w:t xml:space="preserve">New Hampshire values from NH Fish and Game. Data for urchins also available and equal to 2 acres from 2005-2009. </w:t>
      </w:r>
    </w:p>
    <w:p w:rsidR="00E25054" w:rsidRDefault="00E25054" w:rsidP="00E25054">
      <w:pPr>
        <w:spacing w:line="240" w:lineRule="auto"/>
        <w:rPr>
          <w:i/>
          <w:sz w:val="18"/>
          <w:szCs w:val="18"/>
        </w:rPr>
      </w:pPr>
      <w:r w:rsidRPr="00E25054">
        <w:rPr>
          <w:i/>
          <w:sz w:val="18"/>
          <w:szCs w:val="18"/>
          <w:vertAlign w:val="superscript"/>
        </w:rPr>
        <w:t>5</w:t>
      </w:r>
      <w:r w:rsidRPr="00E25054">
        <w:rPr>
          <w:i/>
          <w:sz w:val="18"/>
          <w:szCs w:val="18"/>
        </w:rPr>
        <w:t>Massachusetts values from Massachusetts Division of Marine  Fisheries.</w:t>
      </w:r>
    </w:p>
    <w:p w:rsidR="00E25054" w:rsidRPr="00E25054" w:rsidRDefault="00E25054" w:rsidP="00E25054">
      <w:pPr>
        <w:spacing w:line="240" w:lineRule="auto"/>
        <w:rPr>
          <w:i/>
          <w:sz w:val="20"/>
          <w:szCs w:val="20"/>
        </w:rPr>
      </w:pPr>
    </w:p>
    <w:p w:rsidR="00E25054" w:rsidRPr="00E25054" w:rsidRDefault="00E25054" w:rsidP="00E25054">
      <w:pPr>
        <w:rPr>
          <w:b/>
          <w:sz w:val="20"/>
          <w:szCs w:val="20"/>
        </w:rPr>
      </w:pPr>
      <w:r w:rsidRPr="00E25054">
        <w:rPr>
          <w:b/>
          <w:sz w:val="20"/>
          <w:szCs w:val="20"/>
        </w:rPr>
        <w:t>Acres leased for  Aquaculture - Shellfish</w:t>
      </w:r>
    </w:p>
    <w:tbl>
      <w:tblPr>
        <w:tblStyle w:val="TableGrid"/>
        <w:tblW w:w="11171" w:type="dxa"/>
        <w:tblLayout w:type="fixed"/>
        <w:tblLook w:val="04A0"/>
      </w:tblPr>
      <w:tblGrid>
        <w:gridCol w:w="1769"/>
        <w:gridCol w:w="772"/>
        <w:gridCol w:w="772"/>
        <w:gridCol w:w="772"/>
        <w:gridCol w:w="772"/>
        <w:gridCol w:w="772"/>
        <w:gridCol w:w="772"/>
        <w:gridCol w:w="1252"/>
        <w:gridCol w:w="772"/>
        <w:gridCol w:w="772"/>
        <w:gridCol w:w="772"/>
        <w:gridCol w:w="1202"/>
      </w:tblGrid>
      <w:tr w:rsidR="00E25054" w:rsidRPr="00E25054" w:rsidTr="000755D2">
        <w:trPr>
          <w:trHeight w:val="1282"/>
        </w:trPr>
        <w:tc>
          <w:tcPr>
            <w:tcW w:w="1769" w:type="dxa"/>
            <w:tcBorders>
              <w:bottom w:val="single" w:sz="4" w:space="0" w:color="000000" w:themeColor="text1"/>
            </w:tcBorders>
          </w:tcPr>
          <w:p w:rsidR="00E25054" w:rsidRPr="00E25054" w:rsidRDefault="00E25054" w:rsidP="00FE25FF">
            <w:pPr>
              <w:rPr>
                <w:b/>
                <w:sz w:val="20"/>
                <w:szCs w:val="20"/>
                <w:vertAlign w:val="superscript"/>
              </w:rPr>
            </w:pPr>
            <w:r w:rsidRPr="00E25054">
              <w:rPr>
                <w:b/>
                <w:sz w:val="20"/>
                <w:szCs w:val="20"/>
              </w:rPr>
              <w:lastRenderedPageBreak/>
              <w:t>State/Province</w:t>
            </w:r>
          </w:p>
        </w:tc>
        <w:tc>
          <w:tcPr>
            <w:tcW w:w="772" w:type="dxa"/>
          </w:tcPr>
          <w:p w:rsidR="00E25054" w:rsidRPr="00E25054" w:rsidRDefault="00E25054" w:rsidP="00FE25FF">
            <w:pPr>
              <w:jc w:val="center"/>
              <w:rPr>
                <w:b/>
                <w:sz w:val="20"/>
                <w:szCs w:val="20"/>
              </w:rPr>
            </w:pPr>
            <w:r w:rsidRPr="00E25054">
              <w:rPr>
                <w:b/>
                <w:sz w:val="20"/>
                <w:szCs w:val="20"/>
              </w:rPr>
              <w:t>1999</w:t>
            </w:r>
          </w:p>
        </w:tc>
        <w:tc>
          <w:tcPr>
            <w:tcW w:w="772" w:type="dxa"/>
          </w:tcPr>
          <w:p w:rsidR="00E25054" w:rsidRPr="00E25054" w:rsidRDefault="00E25054" w:rsidP="00FE25FF">
            <w:pPr>
              <w:jc w:val="center"/>
              <w:rPr>
                <w:b/>
                <w:sz w:val="20"/>
                <w:szCs w:val="20"/>
              </w:rPr>
            </w:pPr>
            <w:r w:rsidRPr="00E25054">
              <w:rPr>
                <w:b/>
                <w:sz w:val="20"/>
                <w:szCs w:val="20"/>
              </w:rPr>
              <w:t>2000</w:t>
            </w:r>
          </w:p>
        </w:tc>
        <w:tc>
          <w:tcPr>
            <w:tcW w:w="772" w:type="dxa"/>
          </w:tcPr>
          <w:p w:rsidR="00E25054" w:rsidRPr="00E25054" w:rsidRDefault="00E25054" w:rsidP="00FE25FF">
            <w:pPr>
              <w:jc w:val="center"/>
              <w:rPr>
                <w:b/>
                <w:sz w:val="20"/>
                <w:szCs w:val="20"/>
              </w:rPr>
            </w:pPr>
            <w:r w:rsidRPr="00E25054">
              <w:rPr>
                <w:b/>
                <w:sz w:val="20"/>
                <w:szCs w:val="20"/>
              </w:rPr>
              <w:t>2001</w:t>
            </w:r>
          </w:p>
        </w:tc>
        <w:tc>
          <w:tcPr>
            <w:tcW w:w="772" w:type="dxa"/>
          </w:tcPr>
          <w:p w:rsidR="00E25054" w:rsidRPr="00E25054" w:rsidRDefault="00E25054" w:rsidP="00FE25FF">
            <w:pPr>
              <w:jc w:val="center"/>
              <w:rPr>
                <w:b/>
                <w:sz w:val="20"/>
                <w:szCs w:val="20"/>
              </w:rPr>
            </w:pPr>
            <w:r w:rsidRPr="00E25054">
              <w:rPr>
                <w:b/>
                <w:sz w:val="20"/>
                <w:szCs w:val="20"/>
              </w:rPr>
              <w:t>2002</w:t>
            </w:r>
          </w:p>
        </w:tc>
        <w:tc>
          <w:tcPr>
            <w:tcW w:w="772" w:type="dxa"/>
          </w:tcPr>
          <w:p w:rsidR="00E25054" w:rsidRPr="00E25054" w:rsidRDefault="00E25054" w:rsidP="00FE25FF">
            <w:pPr>
              <w:jc w:val="center"/>
              <w:rPr>
                <w:b/>
                <w:sz w:val="20"/>
                <w:szCs w:val="20"/>
              </w:rPr>
            </w:pPr>
            <w:r w:rsidRPr="00E25054">
              <w:rPr>
                <w:b/>
                <w:sz w:val="20"/>
                <w:szCs w:val="20"/>
              </w:rPr>
              <w:t>2003</w:t>
            </w:r>
          </w:p>
        </w:tc>
        <w:tc>
          <w:tcPr>
            <w:tcW w:w="772" w:type="dxa"/>
          </w:tcPr>
          <w:p w:rsidR="00E25054" w:rsidRPr="00E25054" w:rsidRDefault="00E25054" w:rsidP="00FE25FF">
            <w:pPr>
              <w:jc w:val="center"/>
              <w:rPr>
                <w:b/>
                <w:sz w:val="20"/>
                <w:szCs w:val="20"/>
              </w:rPr>
            </w:pPr>
            <w:r w:rsidRPr="00E25054">
              <w:rPr>
                <w:b/>
                <w:sz w:val="20"/>
                <w:szCs w:val="20"/>
              </w:rPr>
              <w:t>2004</w:t>
            </w:r>
          </w:p>
        </w:tc>
        <w:tc>
          <w:tcPr>
            <w:tcW w:w="1252" w:type="dxa"/>
          </w:tcPr>
          <w:p w:rsidR="00E25054" w:rsidRPr="00E25054" w:rsidRDefault="00E25054" w:rsidP="00FE25FF">
            <w:pPr>
              <w:jc w:val="center"/>
              <w:rPr>
                <w:b/>
                <w:sz w:val="20"/>
                <w:szCs w:val="20"/>
              </w:rPr>
            </w:pPr>
            <w:r w:rsidRPr="00E25054">
              <w:rPr>
                <w:b/>
                <w:sz w:val="20"/>
                <w:szCs w:val="20"/>
              </w:rPr>
              <w:t>2005</w:t>
            </w:r>
          </w:p>
        </w:tc>
        <w:tc>
          <w:tcPr>
            <w:tcW w:w="772" w:type="dxa"/>
          </w:tcPr>
          <w:p w:rsidR="00E25054" w:rsidRPr="00E25054" w:rsidRDefault="00E25054" w:rsidP="00FE25FF">
            <w:pPr>
              <w:jc w:val="center"/>
              <w:rPr>
                <w:b/>
                <w:sz w:val="20"/>
                <w:szCs w:val="20"/>
              </w:rPr>
            </w:pPr>
            <w:r w:rsidRPr="00E25054">
              <w:rPr>
                <w:b/>
                <w:sz w:val="20"/>
                <w:szCs w:val="20"/>
              </w:rPr>
              <w:t>2006</w:t>
            </w:r>
          </w:p>
        </w:tc>
        <w:tc>
          <w:tcPr>
            <w:tcW w:w="772" w:type="dxa"/>
          </w:tcPr>
          <w:p w:rsidR="00E25054" w:rsidRPr="00E25054" w:rsidRDefault="00E25054" w:rsidP="00FE25FF">
            <w:pPr>
              <w:jc w:val="center"/>
              <w:rPr>
                <w:b/>
                <w:sz w:val="20"/>
                <w:szCs w:val="20"/>
              </w:rPr>
            </w:pPr>
            <w:r w:rsidRPr="00E25054">
              <w:rPr>
                <w:b/>
                <w:sz w:val="20"/>
                <w:szCs w:val="20"/>
              </w:rPr>
              <w:t>2007</w:t>
            </w:r>
          </w:p>
        </w:tc>
        <w:tc>
          <w:tcPr>
            <w:tcW w:w="772" w:type="dxa"/>
          </w:tcPr>
          <w:p w:rsidR="00E25054" w:rsidRPr="00E25054" w:rsidRDefault="00E25054" w:rsidP="00FE25FF">
            <w:pPr>
              <w:jc w:val="center"/>
              <w:rPr>
                <w:b/>
                <w:sz w:val="20"/>
                <w:szCs w:val="20"/>
              </w:rPr>
            </w:pPr>
            <w:r w:rsidRPr="00E25054">
              <w:rPr>
                <w:b/>
                <w:sz w:val="20"/>
                <w:szCs w:val="20"/>
              </w:rPr>
              <w:t>2008</w:t>
            </w:r>
          </w:p>
        </w:tc>
        <w:tc>
          <w:tcPr>
            <w:tcW w:w="1202" w:type="dxa"/>
          </w:tcPr>
          <w:p w:rsidR="00E25054" w:rsidRPr="00E25054" w:rsidRDefault="00E25054" w:rsidP="00FE25FF">
            <w:pPr>
              <w:jc w:val="center"/>
              <w:rPr>
                <w:b/>
                <w:sz w:val="20"/>
                <w:szCs w:val="20"/>
              </w:rPr>
            </w:pPr>
            <w:r w:rsidRPr="00E25054">
              <w:rPr>
                <w:b/>
                <w:sz w:val="20"/>
                <w:szCs w:val="20"/>
              </w:rPr>
              <w:t>2009</w:t>
            </w:r>
          </w:p>
        </w:tc>
      </w:tr>
      <w:tr w:rsidR="00E25054" w:rsidRPr="00E25054" w:rsidTr="000755D2">
        <w:trPr>
          <w:trHeight w:val="384"/>
        </w:trPr>
        <w:tc>
          <w:tcPr>
            <w:tcW w:w="1769" w:type="dxa"/>
            <w:tcBorders>
              <w:bottom w:val="nil"/>
            </w:tcBorders>
          </w:tcPr>
          <w:p w:rsidR="00E25054" w:rsidRPr="00E25054" w:rsidRDefault="00E25054" w:rsidP="00FE25FF">
            <w:pPr>
              <w:rPr>
                <w:b/>
                <w:sz w:val="20"/>
                <w:szCs w:val="20"/>
                <w:vertAlign w:val="superscript"/>
              </w:rPr>
            </w:pPr>
            <w:r w:rsidRPr="00E25054">
              <w:rPr>
                <w:b/>
                <w:sz w:val="20"/>
                <w:szCs w:val="20"/>
              </w:rPr>
              <w:t xml:space="preserve">Nova Scotia </w:t>
            </w:r>
            <w:r w:rsidRPr="00E25054">
              <w:rPr>
                <w:b/>
                <w:sz w:val="20"/>
                <w:szCs w:val="20"/>
                <w:vertAlign w:val="superscript"/>
              </w:rPr>
              <w:t>1</w:t>
            </w:r>
          </w:p>
        </w:tc>
        <w:tc>
          <w:tcPr>
            <w:tcW w:w="772" w:type="dxa"/>
            <w:tcBorders>
              <w:bottom w:val="single" w:sz="4" w:space="0" w:color="000000" w:themeColor="text1"/>
            </w:tcBorders>
          </w:tcPr>
          <w:p w:rsidR="00E25054" w:rsidRPr="00E25054" w:rsidRDefault="00E25054" w:rsidP="00FE25FF">
            <w:pPr>
              <w:jc w:val="center"/>
              <w:rPr>
                <w:sz w:val="20"/>
                <w:szCs w:val="20"/>
              </w:rPr>
            </w:pPr>
          </w:p>
        </w:tc>
        <w:tc>
          <w:tcPr>
            <w:tcW w:w="772" w:type="dxa"/>
            <w:tcBorders>
              <w:bottom w:val="single" w:sz="4" w:space="0" w:color="000000" w:themeColor="text1"/>
            </w:tcBorders>
          </w:tcPr>
          <w:p w:rsidR="00E25054" w:rsidRPr="00E25054" w:rsidRDefault="00E25054" w:rsidP="00FE25FF">
            <w:pPr>
              <w:jc w:val="center"/>
              <w:rPr>
                <w:sz w:val="20"/>
                <w:szCs w:val="20"/>
              </w:rPr>
            </w:pPr>
          </w:p>
        </w:tc>
        <w:tc>
          <w:tcPr>
            <w:tcW w:w="772" w:type="dxa"/>
            <w:tcBorders>
              <w:bottom w:val="single" w:sz="4" w:space="0" w:color="000000" w:themeColor="text1"/>
            </w:tcBorders>
          </w:tcPr>
          <w:p w:rsidR="00E25054" w:rsidRPr="00E25054" w:rsidRDefault="00E25054" w:rsidP="00FE25FF">
            <w:pPr>
              <w:jc w:val="center"/>
              <w:rPr>
                <w:sz w:val="20"/>
                <w:szCs w:val="20"/>
              </w:rPr>
            </w:pPr>
          </w:p>
        </w:tc>
        <w:tc>
          <w:tcPr>
            <w:tcW w:w="772" w:type="dxa"/>
            <w:tcBorders>
              <w:bottom w:val="single" w:sz="4" w:space="0" w:color="000000" w:themeColor="text1"/>
            </w:tcBorders>
          </w:tcPr>
          <w:p w:rsidR="00E25054" w:rsidRPr="00E25054" w:rsidRDefault="00E25054" w:rsidP="00FE25FF">
            <w:pPr>
              <w:jc w:val="center"/>
              <w:rPr>
                <w:sz w:val="20"/>
                <w:szCs w:val="20"/>
              </w:rPr>
            </w:pPr>
          </w:p>
        </w:tc>
        <w:tc>
          <w:tcPr>
            <w:tcW w:w="772" w:type="dxa"/>
            <w:tcBorders>
              <w:bottom w:val="single" w:sz="4" w:space="0" w:color="000000" w:themeColor="text1"/>
            </w:tcBorders>
          </w:tcPr>
          <w:p w:rsidR="00E25054" w:rsidRPr="00E25054" w:rsidRDefault="00E25054" w:rsidP="00FE25FF">
            <w:pPr>
              <w:jc w:val="center"/>
              <w:rPr>
                <w:sz w:val="20"/>
                <w:szCs w:val="20"/>
              </w:rPr>
            </w:pPr>
          </w:p>
        </w:tc>
        <w:tc>
          <w:tcPr>
            <w:tcW w:w="772" w:type="dxa"/>
            <w:tcBorders>
              <w:bottom w:val="single" w:sz="4" w:space="0" w:color="000000" w:themeColor="text1"/>
            </w:tcBorders>
          </w:tcPr>
          <w:p w:rsidR="00E25054" w:rsidRPr="00E25054" w:rsidRDefault="00E25054" w:rsidP="00FE25FF">
            <w:pPr>
              <w:jc w:val="center"/>
              <w:rPr>
                <w:sz w:val="20"/>
                <w:szCs w:val="20"/>
              </w:rPr>
            </w:pPr>
          </w:p>
        </w:tc>
        <w:tc>
          <w:tcPr>
            <w:tcW w:w="1252" w:type="dxa"/>
            <w:tcBorders>
              <w:bottom w:val="single" w:sz="4" w:space="0" w:color="000000" w:themeColor="text1"/>
            </w:tcBorders>
          </w:tcPr>
          <w:p w:rsidR="00E25054" w:rsidRPr="00E25054" w:rsidRDefault="00E25054" w:rsidP="00FE25FF">
            <w:pPr>
              <w:jc w:val="center"/>
              <w:rPr>
                <w:sz w:val="20"/>
                <w:szCs w:val="20"/>
              </w:rPr>
            </w:pPr>
          </w:p>
        </w:tc>
        <w:tc>
          <w:tcPr>
            <w:tcW w:w="772" w:type="dxa"/>
            <w:tcBorders>
              <w:bottom w:val="single" w:sz="4" w:space="0" w:color="000000" w:themeColor="text1"/>
            </w:tcBorders>
          </w:tcPr>
          <w:p w:rsidR="00E25054" w:rsidRPr="00E25054" w:rsidRDefault="00E25054" w:rsidP="00FE25FF">
            <w:pPr>
              <w:jc w:val="center"/>
              <w:rPr>
                <w:sz w:val="20"/>
                <w:szCs w:val="20"/>
              </w:rPr>
            </w:pPr>
          </w:p>
        </w:tc>
        <w:tc>
          <w:tcPr>
            <w:tcW w:w="772" w:type="dxa"/>
            <w:tcBorders>
              <w:bottom w:val="single" w:sz="4" w:space="0" w:color="000000" w:themeColor="text1"/>
            </w:tcBorders>
          </w:tcPr>
          <w:p w:rsidR="00E25054" w:rsidRPr="00E25054" w:rsidRDefault="00E25054" w:rsidP="00FE25FF">
            <w:pPr>
              <w:jc w:val="center"/>
              <w:rPr>
                <w:sz w:val="20"/>
                <w:szCs w:val="20"/>
              </w:rPr>
            </w:pPr>
          </w:p>
        </w:tc>
        <w:tc>
          <w:tcPr>
            <w:tcW w:w="772"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4796</w:t>
            </w:r>
          </w:p>
        </w:tc>
        <w:tc>
          <w:tcPr>
            <w:tcW w:w="1202"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4796</w:t>
            </w:r>
          </w:p>
        </w:tc>
      </w:tr>
      <w:tr w:rsidR="00E25054" w:rsidRPr="00E25054" w:rsidTr="000755D2">
        <w:trPr>
          <w:trHeight w:val="200"/>
        </w:trPr>
        <w:tc>
          <w:tcPr>
            <w:tcW w:w="1769" w:type="dxa"/>
          </w:tcPr>
          <w:p w:rsidR="00E25054" w:rsidRPr="00E25054" w:rsidRDefault="00E25054" w:rsidP="00FE25FF">
            <w:pPr>
              <w:rPr>
                <w:b/>
                <w:sz w:val="20"/>
                <w:szCs w:val="20"/>
                <w:vertAlign w:val="superscript"/>
              </w:rPr>
            </w:pPr>
            <w:r w:rsidRPr="00E25054">
              <w:rPr>
                <w:b/>
                <w:sz w:val="20"/>
                <w:szCs w:val="20"/>
              </w:rPr>
              <w:t>New Brunswick</w:t>
            </w:r>
            <w:r w:rsidRPr="00E25054">
              <w:rPr>
                <w:b/>
                <w:sz w:val="20"/>
                <w:szCs w:val="20"/>
                <w:vertAlign w:val="superscript"/>
              </w:rPr>
              <w:t>2</w:t>
            </w:r>
          </w:p>
        </w:tc>
        <w:tc>
          <w:tcPr>
            <w:tcW w:w="772" w:type="dxa"/>
            <w:tcBorders>
              <w:bottom w:val="single" w:sz="4" w:space="0" w:color="000000" w:themeColor="text1"/>
            </w:tcBorders>
          </w:tcPr>
          <w:p w:rsidR="00E25054" w:rsidRPr="00E25054" w:rsidRDefault="00E25054" w:rsidP="00FE25FF">
            <w:pPr>
              <w:jc w:val="center"/>
              <w:rPr>
                <w:sz w:val="20"/>
                <w:szCs w:val="20"/>
              </w:rPr>
            </w:pPr>
          </w:p>
        </w:tc>
        <w:tc>
          <w:tcPr>
            <w:tcW w:w="772" w:type="dxa"/>
            <w:tcBorders>
              <w:bottom w:val="single" w:sz="4" w:space="0" w:color="000000" w:themeColor="text1"/>
            </w:tcBorders>
          </w:tcPr>
          <w:p w:rsidR="00E25054" w:rsidRPr="00E25054" w:rsidRDefault="00E25054" w:rsidP="00FE25FF">
            <w:pPr>
              <w:jc w:val="center"/>
              <w:rPr>
                <w:sz w:val="20"/>
                <w:szCs w:val="20"/>
              </w:rPr>
            </w:pPr>
          </w:p>
        </w:tc>
        <w:tc>
          <w:tcPr>
            <w:tcW w:w="772" w:type="dxa"/>
            <w:tcBorders>
              <w:bottom w:val="single" w:sz="4" w:space="0" w:color="000000" w:themeColor="text1"/>
            </w:tcBorders>
          </w:tcPr>
          <w:p w:rsidR="00E25054" w:rsidRPr="00E25054" w:rsidRDefault="00E25054" w:rsidP="00FE25FF">
            <w:pPr>
              <w:jc w:val="center"/>
              <w:rPr>
                <w:sz w:val="20"/>
                <w:szCs w:val="20"/>
              </w:rPr>
            </w:pPr>
          </w:p>
        </w:tc>
        <w:tc>
          <w:tcPr>
            <w:tcW w:w="772" w:type="dxa"/>
            <w:tcBorders>
              <w:bottom w:val="single" w:sz="4" w:space="0" w:color="000000" w:themeColor="text1"/>
            </w:tcBorders>
          </w:tcPr>
          <w:p w:rsidR="00E25054" w:rsidRPr="00E25054" w:rsidRDefault="00E25054" w:rsidP="00FE25FF">
            <w:pPr>
              <w:jc w:val="center"/>
              <w:rPr>
                <w:sz w:val="20"/>
                <w:szCs w:val="20"/>
              </w:rPr>
            </w:pPr>
          </w:p>
        </w:tc>
        <w:tc>
          <w:tcPr>
            <w:tcW w:w="772"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32</w:t>
            </w:r>
          </w:p>
        </w:tc>
        <w:tc>
          <w:tcPr>
            <w:tcW w:w="772"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32</w:t>
            </w:r>
          </w:p>
        </w:tc>
        <w:tc>
          <w:tcPr>
            <w:tcW w:w="1252"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32</w:t>
            </w:r>
          </w:p>
        </w:tc>
        <w:tc>
          <w:tcPr>
            <w:tcW w:w="772"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32</w:t>
            </w:r>
          </w:p>
        </w:tc>
        <w:tc>
          <w:tcPr>
            <w:tcW w:w="772"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32</w:t>
            </w:r>
          </w:p>
        </w:tc>
        <w:tc>
          <w:tcPr>
            <w:tcW w:w="772"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32</w:t>
            </w:r>
          </w:p>
        </w:tc>
        <w:tc>
          <w:tcPr>
            <w:tcW w:w="1202" w:type="dxa"/>
            <w:tcBorders>
              <w:bottom w:val="single" w:sz="4" w:space="0" w:color="000000" w:themeColor="text1"/>
            </w:tcBorders>
          </w:tcPr>
          <w:p w:rsidR="00E25054" w:rsidRPr="00E25054" w:rsidRDefault="00E25054" w:rsidP="00FE25FF">
            <w:pPr>
              <w:jc w:val="center"/>
              <w:rPr>
                <w:sz w:val="20"/>
                <w:szCs w:val="20"/>
              </w:rPr>
            </w:pPr>
          </w:p>
        </w:tc>
      </w:tr>
      <w:tr w:rsidR="00E25054" w:rsidRPr="00E25054" w:rsidTr="000755D2">
        <w:trPr>
          <w:trHeight w:val="185"/>
        </w:trPr>
        <w:tc>
          <w:tcPr>
            <w:tcW w:w="1769" w:type="dxa"/>
          </w:tcPr>
          <w:p w:rsidR="00E25054" w:rsidRPr="00E25054" w:rsidRDefault="00E25054" w:rsidP="00FE25FF">
            <w:pPr>
              <w:rPr>
                <w:b/>
                <w:sz w:val="20"/>
                <w:szCs w:val="20"/>
                <w:vertAlign w:val="superscript"/>
              </w:rPr>
            </w:pPr>
            <w:r w:rsidRPr="00E25054">
              <w:rPr>
                <w:b/>
                <w:sz w:val="20"/>
                <w:szCs w:val="20"/>
              </w:rPr>
              <w:t>Maine</w:t>
            </w:r>
            <w:r w:rsidRPr="00E25054">
              <w:rPr>
                <w:b/>
                <w:sz w:val="20"/>
                <w:szCs w:val="20"/>
                <w:vertAlign w:val="superscript"/>
              </w:rPr>
              <w:t>3</w:t>
            </w:r>
          </w:p>
        </w:tc>
        <w:tc>
          <w:tcPr>
            <w:tcW w:w="772"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401</w:t>
            </w:r>
          </w:p>
        </w:tc>
        <w:tc>
          <w:tcPr>
            <w:tcW w:w="772"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477</w:t>
            </w:r>
          </w:p>
        </w:tc>
        <w:tc>
          <w:tcPr>
            <w:tcW w:w="772"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521</w:t>
            </w:r>
          </w:p>
        </w:tc>
        <w:tc>
          <w:tcPr>
            <w:tcW w:w="772"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542</w:t>
            </w:r>
          </w:p>
        </w:tc>
        <w:tc>
          <w:tcPr>
            <w:tcW w:w="772"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582</w:t>
            </w:r>
          </w:p>
        </w:tc>
        <w:tc>
          <w:tcPr>
            <w:tcW w:w="772"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650</w:t>
            </w:r>
          </w:p>
        </w:tc>
        <w:tc>
          <w:tcPr>
            <w:tcW w:w="1252"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659</w:t>
            </w:r>
          </w:p>
        </w:tc>
        <w:tc>
          <w:tcPr>
            <w:tcW w:w="772"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669</w:t>
            </w:r>
          </w:p>
        </w:tc>
        <w:tc>
          <w:tcPr>
            <w:tcW w:w="772"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713</w:t>
            </w:r>
          </w:p>
        </w:tc>
        <w:tc>
          <w:tcPr>
            <w:tcW w:w="772"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656</w:t>
            </w:r>
          </w:p>
        </w:tc>
        <w:tc>
          <w:tcPr>
            <w:tcW w:w="1202"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651</w:t>
            </w:r>
          </w:p>
        </w:tc>
      </w:tr>
      <w:tr w:rsidR="00E25054" w:rsidRPr="00E25054" w:rsidTr="000755D2">
        <w:trPr>
          <w:trHeight w:val="200"/>
        </w:trPr>
        <w:tc>
          <w:tcPr>
            <w:tcW w:w="1769" w:type="dxa"/>
          </w:tcPr>
          <w:p w:rsidR="00E25054" w:rsidRPr="00E25054" w:rsidRDefault="00E25054" w:rsidP="00FE25FF">
            <w:pPr>
              <w:rPr>
                <w:b/>
                <w:sz w:val="20"/>
                <w:szCs w:val="20"/>
                <w:vertAlign w:val="superscript"/>
              </w:rPr>
            </w:pPr>
            <w:r w:rsidRPr="00E25054">
              <w:rPr>
                <w:b/>
                <w:sz w:val="20"/>
                <w:szCs w:val="20"/>
              </w:rPr>
              <w:t>New Hampshire</w:t>
            </w:r>
            <w:r w:rsidRPr="00E25054">
              <w:rPr>
                <w:b/>
                <w:sz w:val="20"/>
                <w:szCs w:val="20"/>
                <w:vertAlign w:val="superscript"/>
              </w:rPr>
              <w:t>4</w:t>
            </w:r>
          </w:p>
        </w:tc>
        <w:tc>
          <w:tcPr>
            <w:tcW w:w="772" w:type="dxa"/>
            <w:tcBorders>
              <w:bottom w:val="single" w:sz="4" w:space="0" w:color="000000" w:themeColor="text1"/>
            </w:tcBorders>
          </w:tcPr>
          <w:p w:rsidR="00E25054" w:rsidRPr="00E25054" w:rsidRDefault="00E25054" w:rsidP="00FE25FF">
            <w:pPr>
              <w:jc w:val="center"/>
              <w:rPr>
                <w:sz w:val="20"/>
                <w:szCs w:val="20"/>
              </w:rPr>
            </w:pPr>
          </w:p>
        </w:tc>
        <w:tc>
          <w:tcPr>
            <w:tcW w:w="772" w:type="dxa"/>
            <w:tcBorders>
              <w:bottom w:val="single" w:sz="4" w:space="0" w:color="000000" w:themeColor="text1"/>
            </w:tcBorders>
          </w:tcPr>
          <w:p w:rsidR="00E25054" w:rsidRPr="00E25054" w:rsidRDefault="00E25054" w:rsidP="00FE25FF">
            <w:pPr>
              <w:jc w:val="center"/>
              <w:rPr>
                <w:sz w:val="20"/>
                <w:szCs w:val="20"/>
              </w:rPr>
            </w:pPr>
          </w:p>
        </w:tc>
        <w:tc>
          <w:tcPr>
            <w:tcW w:w="772" w:type="dxa"/>
            <w:tcBorders>
              <w:bottom w:val="single" w:sz="4" w:space="0" w:color="000000" w:themeColor="text1"/>
            </w:tcBorders>
          </w:tcPr>
          <w:p w:rsidR="00E25054" w:rsidRPr="00E25054" w:rsidRDefault="00E25054" w:rsidP="00FE25FF">
            <w:pPr>
              <w:jc w:val="center"/>
              <w:rPr>
                <w:sz w:val="20"/>
                <w:szCs w:val="20"/>
              </w:rPr>
            </w:pPr>
          </w:p>
        </w:tc>
        <w:tc>
          <w:tcPr>
            <w:tcW w:w="772" w:type="dxa"/>
            <w:tcBorders>
              <w:bottom w:val="single" w:sz="4" w:space="0" w:color="000000" w:themeColor="text1"/>
            </w:tcBorders>
          </w:tcPr>
          <w:p w:rsidR="00E25054" w:rsidRPr="00E25054" w:rsidRDefault="00E25054" w:rsidP="00FE25FF">
            <w:pPr>
              <w:jc w:val="center"/>
              <w:rPr>
                <w:sz w:val="20"/>
                <w:szCs w:val="20"/>
              </w:rPr>
            </w:pPr>
          </w:p>
        </w:tc>
        <w:tc>
          <w:tcPr>
            <w:tcW w:w="772" w:type="dxa"/>
            <w:tcBorders>
              <w:bottom w:val="single" w:sz="4" w:space="0" w:color="000000" w:themeColor="text1"/>
            </w:tcBorders>
          </w:tcPr>
          <w:p w:rsidR="00E25054" w:rsidRPr="00E25054" w:rsidRDefault="00E25054" w:rsidP="00FE25FF">
            <w:pPr>
              <w:jc w:val="center"/>
              <w:rPr>
                <w:sz w:val="20"/>
                <w:szCs w:val="20"/>
              </w:rPr>
            </w:pPr>
          </w:p>
        </w:tc>
        <w:tc>
          <w:tcPr>
            <w:tcW w:w="772" w:type="dxa"/>
            <w:tcBorders>
              <w:bottom w:val="single" w:sz="4" w:space="0" w:color="000000" w:themeColor="text1"/>
            </w:tcBorders>
          </w:tcPr>
          <w:p w:rsidR="00E25054" w:rsidRPr="00E25054" w:rsidRDefault="00E25054" w:rsidP="00FE25FF">
            <w:pPr>
              <w:jc w:val="center"/>
              <w:rPr>
                <w:sz w:val="20"/>
                <w:szCs w:val="20"/>
              </w:rPr>
            </w:pPr>
          </w:p>
        </w:tc>
        <w:tc>
          <w:tcPr>
            <w:tcW w:w="1252"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11</w:t>
            </w:r>
          </w:p>
        </w:tc>
        <w:tc>
          <w:tcPr>
            <w:tcW w:w="772"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13</w:t>
            </w:r>
          </w:p>
        </w:tc>
        <w:tc>
          <w:tcPr>
            <w:tcW w:w="772"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13</w:t>
            </w:r>
          </w:p>
        </w:tc>
        <w:tc>
          <w:tcPr>
            <w:tcW w:w="772"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13</w:t>
            </w:r>
          </w:p>
        </w:tc>
        <w:tc>
          <w:tcPr>
            <w:tcW w:w="1202"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13</w:t>
            </w:r>
          </w:p>
        </w:tc>
      </w:tr>
      <w:tr w:rsidR="00E25054" w:rsidRPr="00E25054" w:rsidTr="000755D2">
        <w:trPr>
          <w:trHeight w:val="368"/>
        </w:trPr>
        <w:tc>
          <w:tcPr>
            <w:tcW w:w="1769" w:type="dxa"/>
          </w:tcPr>
          <w:p w:rsidR="00E25054" w:rsidRPr="00E25054" w:rsidRDefault="00E25054" w:rsidP="00FE25FF">
            <w:pPr>
              <w:rPr>
                <w:b/>
                <w:sz w:val="20"/>
                <w:szCs w:val="20"/>
                <w:vertAlign w:val="superscript"/>
              </w:rPr>
            </w:pPr>
            <w:r w:rsidRPr="00E25054">
              <w:rPr>
                <w:b/>
                <w:sz w:val="20"/>
                <w:szCs w:val="20"/>
              </w:rPr>
              <w:t>Massachusetts</w:t>
            </w:r>
            <w:r w:rsidRPr="00E25054">
              <w:rPr>
                <w:b/>
                <w:sz w:val="20"/>
                <w:szCs w:val="20"/>
                <w:vertAlign w:val="superscript"/>
              </w:rPr>
              <w:t>5</w:t>
            </w:r>
          </w:p>
        </w:tc>
        <w:tc>
          <w:tcPr>
            <w:tcW w:w="772"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482</w:t>
            </w:r>
          </w:p>
        </w:tc>
        <w:tc>
          <w:tcPr>
            <w:tcW w:w="772" w:type="dxa"/>
            <w:tcBorders>
              <w:bottom w:val="single" w:sz="4" w:space="0" w:color="000000" w:themeColor="text1"/>
            </w:tcBorders>
          </w:tcPr>
          <w:p w:rsidR="00E25054" w:rsidRPr="00E25054" w:rsidRDefault="00E25054" w:rsidP="00FE25FF">
            <w:pPr>
              <w:jc w:val="center"/>
              <w:rPr>
                <w:sz w:val="20"/>
                <w:szCs w:val="20"/>
              </w:rPr>
            </w:pPr>
          </w:p>
        </w:tc>
        <w:tc>
          <w:tcPr>
            <w:tcW w:w="772" w:type="dxa"/>
            <w:tcBorders>
              <w:bottom w:val="single" w:sz="4" w:space="0" w:color="000000" w:themeColor="text1"/>
            </w:tcBorders>
          </w:tcPr>
          <w:p w:rsidR="00E25054" w:rsidRPr="00E25054" w:rsidRDefault="00E25054" w:rsidP="00FE25FF">
            <w:pPr>
              <w:jc w:val="center"/>
              <w:rPr>
                <w:sz w:val="20"/>
                <w:szCs w:val="20"/>
              </w:rPr>
            </w:pPr>
          </w:p>
        </w:tc>
        <w:tc>
          <w:tcPr>
            <w:tcW w:w="772"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539</w:t>
            </w:r>
          </w:p>
        </w:tc>
        <w:tc>
          <w:tcPr>
            <w:tcW w:w="772"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557</w:t>
            </w:r>
          </w:p>
        </w:tc>
        <w:tc>
          <w:tcPr>
            <w:tcW w:w="772"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591</w:t>
            </w:r>
          </w:p>
        </w:tc>
        <w:tc>
          <w:tcPr>
            <w:tcW w:w="1252"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571</w:t>
            </w:r>
          </w:p>
        </w:tc>
        <w:tc>
          <w:tcPr>
            <w:tcW w:w="772"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582</w:t>
            </w:r>
          </w:p>
        </w:tc>
        <w:tc>
          <w:tcPr>
            <w:tcW w:w="772" w:type="dxa"/>
            <w:tcBorders>
              <w:bottom w:val="single" w:sz="4" w:space="0" w:color="000000" w:themeColor="text1"/>
            </w:tcBorders>
          </w:tcPr>
          <w:p w:rsidR="00E25054" w:rsidRPr="00E25054" w:rsidRDefault="00E25054" w:rsidP="00FE25FF">
            <w:pPr>
              <w:jc w:val="center"/>
              <w:rPr>
                <w:sz w:val="20"/>
                <w:szCs w:val="20"/>
              </w:rPr>
            </w:pPr>
            <w:r w:rsidRPr="00E25054">
              <w:rPr>
                <w:sz w:val="20"/>
                <w:szCs w:val="20"/>
              </w:rPr>
              <w:t>287</w:t>
            </w:r>
          </w:p>
        </w:tc>
        <w:tc>
          <w:tcPr>
            <w:tcW w:w="772" w:type="dxa"/>
            <w:tcBorders>
              <w:bottom w:val="single" w:sz="4" w:space="0" w:color="000000" w:themeColor="text1"/>
            </w:tcBorders>
          </w:tcPr>
          <w:p w:rsidR="00E25054" w:rsidRPr="00E25054" w:rsidRDefault="00E25054" w:rsidP="00FE25FF">
            <w:pPr>
              <w:jc w:val="center"/>
              <w:rPr>
                <w:sz w:val="20"/>
                <w:szCs w:val="20"/>
              </w:rPr>
            </w:pPr>
          </w:p>
        </w:tc>
        <w:tc>
          <w:tcPr>
            <w:tcW w:w="1202" w:type="dxa"/>
            <w:tcBorders>
              <w:bottom w:val="single" w:sz="4" w:space="0" w:color="000000" w:themeColor="text1"/>
            </w:tcBorders>
          </w:tcPr>
          <w:p w:rsidR="00E25054" w:rsidRPr="00E25054" w:rsidRDefault="00E25054" w:rsidP="00FE25FF">
            <w:pPr>
              <w:jc w:val="center"/>
              <w:rPr>
                <w:sz w:val="20"/>
                <w:szCs w:val="20"/>
              </w:rPr>
            </w:pPr>
          </w:p>
        </w:tc>
      </w:tr>
    </w:tbl>
    <w:p w:rsidR="00E25054" w:rsidRPr="00E25054" w:rsidRDefault="00E25054" w:rsidP="00E25054">
      <w:pPr>
        <w:rPr>
          <w:sz w:val="20"/>
          <w:szCs w:val="20"/>
        </w:rPr>
      </w:pPr>
    </w:p>
    <w:p w:rsidR="00E25054" w:rsidRPr="00E25054" w:rsidRDefault="00E25054" w:rsidP="00E25054">
      <w:pPr>
        <w:spacing w:line="240" w:lineRule="auto"/>
        <w:rPr>
          <w:i/>
          <w:sz w:val="18"/>
          <w:szCs w:val="18"/>
        </w:rPr>
      </w:pPr>
      <w:r w:rsidRPr="00E25054">
        <w:rPr>
          <w:i/>
          <w:sz w:val="18"/>
          <w:szCs w:val="18"/>
          <w:vertAlign w:val="superscript"/>
        </w:rPr>
        <w:t>1</w:t>
      </w:r>
      <w:r w:rsidRPr="00E25054">
        <w:rPr>
          <w:i/>
          <w:sz w:val="18"/>
          <w:szCs w:val="18"/>
        </w:rPr>
        <w:t xml:space="preserve"> Nova Scotia values from NS Department of Fisheries and Aquaculture. Value does not include soft shell clams.</w:t>
      </w:r>
    </w:p>
    <w:p w:rsidR="00E25054" w:rsidRPr="00E25054" w:rsidRDefault="00E25054" w:rsidP="00E25054">
      <w:pPr>
        <w:spacing w:line="240" w:lineRule="auto"/>
        <w:rPr>
          <w:i/>
          <w:sz w:val="18"/>
          <w:szCs w:val="18"/>
        </w:rPr>
      </w:pPr>
      <w:r w:rsidRPr="00E25054">
        <w:rPr>
          <w:i/>
          <w:sz w:val="18"/>
          <w:szCs w:val="18"/>
          <w:vertAlign w:val="superscript"/>
        </w:rPr>
        <w:t>2</w:t>
      </w:r>
      <w:r w:rsidRPr="00E25054">
        <w:rPr>
          <w:i/>
          <w:sz w:val="18"/>
          <w:szCs w:val="18"/>
        </w:rPr>
        <w:t>New Brunswick values from NB Dept. of Agriculture &amp; Aquaculture.</w:t>
      </w:r>
    </w:p>
    <w:p w:rsidR="00E25054" w:rsidRPr="00E25054" w:rsidRDefault="00E25054" w:rsidP="00E25054">
      <w:pPr>
        <w:spacing w:line="240" w:lineRule="auto"/>
        <w:rPr>
          <w:i/>
          <w:sz w:val="18"/>
          <w:szCs w:val="18"/>
        </w:rPr>
      </w:pPr>
      <w:r w:rsidRPr="00E25054">
        <w:rPr>
          <w:i/>
          <w:sz w:val="18"/>
          <w:szCs w:val="18"/>
          <w:vertAlign w:val="superscript"/>
        </w:rPr>
        <w:t>3</w:t>
      </w:r>
      <w:r w:rsidRPr="00E25054">
        <w:rPr>
          <w:i/>
          <w:sz w:val="18"/>
          <w:szCs w:val="18"/>
        </w:rPr>
        <w:t xml:space="preserve"> Maine values from Maine Department of Marine Resources.</w:t>
      </w:r>
    </w:p>
    <w:p w:rsidR="00E25054" w:rsidRPr="00E25054" w:rsidRDefault="00E25054" w:rsidP="00E25054">
      <w:pPr>
        <w:spacing w:line="240" w:lineRule="auto"/>
        <w:rPr>
          <w:i/>
          <w:sz w:val="18"/>
          <w:szCs w:val="18"/>
        </w:rPr>
      </w:pPr>
      <w:r w:rsidRPr="00E25054">
        <w:rPr>
          <w:i/>
          <w:sz w:val="18"/>
          <w:szCs w:val="18"/>
          <w:vertAlign w:val="superscript"/>
        </w:rPr>
        <w:t>4</w:t>
      </w:r>
      <w:r w:rsidRPr="00E25054">
        <w:rPr>
          <w:i/>
          <w:sz w:val="18"/>
          <w:szCs w:val="18"/>
        </w:rPr>
        <w:t>New Hampshire values from NH Fish and Game. Data for urchins also available and equal to 2 acres from 2005-2009.</w:t>
      </w:r>
    </w:p>
    <w:p w:rsidR="00E25054" w:rsidRPr="00E25054" w:rsidRDefault="00E25054" w:rsidP="00E25054">
      <w:pPr>
        <w:spacing w:line="240" w:lineRule="auto"/>
        <w:rPr>
          <w:i/>
          <w:sz w:val="18"/>
          <w:szCs w:val="18"/>
        </w:rPr>
      </w:pPr>
      <w:r w:rsidRPr="00E25054">
        <w:rPr>
          <w:i/>
          <w:sz w:val="18"/>
          <w:szCs w:val="18"/>
          <w:vertAlign w:val="superscript"/>
        </w:rPr>
        <w:t>5</w:t>
      </w:r>
      <w:r w:rsidRPr="00E25054">
        <w:rPr>
          <w:i/>
          <w:sz w:val="18"/>
          <w:szCs w:val="18"/>
        </w:rPr>
        <w:t>Massachusetts values from Massachusetts Division of Marine  Fisheries.</w:t>
      </w:r>
    </w:p>
    <w:p w:rsidR="00E25054" w:rsidRPr="00E25054" w:rsidRDefault="00E25054" w:rsidP="00E25054">
      <w:pPr>
        <w:spacing w:line="240" w:lineRule="auto"/>
        <w:rPr>
          <w:i/>
          <w:sz w:val="18"/>
          <w:szCs w:val="18"/>
        </w:rPr>
      </w:pPr>
    </w:p>
    <w:p w:rsidR="00E25054" w:rsidRDefault="00E25054">
      <w:pPr>
        <w:rPr>
          <w:b/>
        </w:rPr>
      </w:pPr>
    </w:p>
    <w:p w:rsidR="005101D5" w:rsidRDefault="005101D5">
      <w:pPr>
        <w:rPr>
          <w:b/>
        </w:rPr>
      </w:pPr>
    </w:p>
    <w:p w:rsidR="005101D5" w:rsidRDefault="005101D5">
      <w:pPr>
        <w:rPr>
          <w:b/>
        </w:rPr>
      </w:pPr>
      <w:r>
        <w:rPr>
          <w:b/>
        </w:rPr>
        <w:t>Focus Box: Climate Change</w:t>
      </w:r>
    </w:p>
    <w:p w:rsidR="005101D5" w:rsidRDefault="005101D5" w:rsidP="005101D5">
      <w:pPr>
        <w:rPr>
          <w:lang w:val="en-CA"/>
        </w:rPr>
      </w:pPr>
      <w:r>
        <w:rPr>
          <w:lang w:val="en-CA"/>
        </w:rPr>
        <w:t xml:space="preserve">Climate change impacts in the </w:t>
      </w:r>
      <w:smartTag w:uri="urn:schemas-microsoft-com:office:smarttags" w:element="place">
        <w:smartTag w:uri="urn:schemas-microsoft-com:office:smarttags" w:element="PlaceType">
          <w:r>
            <w:rPr>
              <w:lang w:val="en-CA"/>
            </w:rPr>
            <w:t>Gulf</w:t>
          </w:r>
        </w:smartTag>
        <w:r>
          <w:rPr>
            <w:lang w:val="en-CA"/>
          </w:rPr>
          <w:t xml:space="preserve"> of </w:t>
        </w:r>
        <w:smartTag w:uri="urn:schemas-microsoft-com:office:smarttags" w:element="PlaceName">
          <w:r>
            <w:rPr>
              <w:lang w:val="en-CA"/>
            </w:rPr>
            <w:t>Maine</w:t>
          </w:r>
        </w:smartTag>
      </w:smartTag>
      <w:r>
        <w:rPr>
          <w:lang w:val="en-CA"/>
        </w:rPr>
        <w:t xml:space="preserve"> range from air and sea temperature changes and sea level rise to increased frequency of intense storms and heavy precipitation. All of these impacts can play a role in what species may be chosen for aquaculture, where aquaculture can take place and what adaptations may be required to keep aquaculture production successful.</w:t>
      </w:r>
    </w:p>
    <w:p w:rsidR="005101D5" w:rsidRDefault="005101D5" w:rsidP="005101D5">
      <w:pPr>
        <w:rPr>
          <w:lang w:val="en-CA"/>
        </w:rPr>
      </w:pPr>
      <w:r>
        <w:rPr>
          <w:lang w:val="en-CA"/>
        </w:rPr>
        <w:t xml:space="preserve">Temperature changes have both direct and indirect impacts. Most directly are projected increases in sea surface temperature (SST) across the Gulf over the next 50 to 100 years. As SST increases, species type and viability will be impacted. Some species thrive at warmer temperatures </w:t>
      </w:r>
      <w:r>
        <w:rPr>
          <w:lang w:val="en-CA"/>
        </w:rPr>
        <w:lastRenderedPageBreak/>
        <w:t>while others may have too narrow a “temperature threshold” for productivity. More indirectly, warmer air temperatures leading to earlier springs and low river flows by summer may impact production along estuaries.</w:t>
      </w:r>
    </w:p>
    <w:tbl>
      <w:tblPr>
        <w:tblStyle w:val="TableGrid"/>
        <w:tblW w:w="0" w:type="auto"/>
        <w:tblLook w:val="04A0"/>
      </w:tblPr>
      <w:tblGrid>
        <w:gridCol w:w="3050"/>
        <w:gridCol w:w="3050"/>
        <w:gridCol w:w="3050"/>
      </w:tblGrid>
      <w:tr w:rsidR="005101D5" w:rsidTr="00AF51AF">
        <w:trPr>
          <w:trHeight w:val="285"/>
        </w:trPr>
        <w:tc>
          <w:tcPr>
            <w:tcW w:w="3050" w:type="dxa"/>
            <w:shd w:val="clear" w:color="auto" w:fill="D9D9D9" w:themeFill="background1" w:themeFillShade="D9"/>
          </w:tcPr>
          <w:p w:rsidR="005101D5" w:rsidRPr="005101D5" w:rsidRDefault="005101D5" w:rsidP="005101D5">
            <w:pPr>
              <w:jc w:val="center"/>
              <w:rPr>
                <w:b/>
              </w:rPr>
            </w:pPr>
            <w:r w:rsidRPr="005101D5">
              <w:rPr>
                <w:b/>
              </w:rPr>
              <w:t>Common Name</w:t>
            </w:r>
          </w:p>
        </w:tc>
        <w:tc>
          <w:tcPr>
            <w:tcW w:w="3050" w:type="dxa"/>
            <w:shd w:val="clear" w:color="auto" w:fill="D9D9D9" w:themeFill="background1" w:themeFillShade="D9"/>
          </w:tcPr>
          <w:p w:rsidR="005101D5" w:rsidRPr="005101D5" w:rsidRDefault="005101D5" w:rsidP="005101D5">
            <w:pPr>
              <w:jc w:val="center"/>
              <w:rPr>
                <w:b/>
              </w:rPr>
            </w:pPr>
            <w:r w:rsidRPr="005101D5">
              <w:rPr>
                <w:b/>
              </w:rPr>
              <w:t>Scientific Name</w:t>
            </w:r>
          </w:p>
        </w:tc>
        <w:tc>
          <w:tcPr>
            <w:tcW w:w="3050" w:type="dxa"/>
            <w:shd w:val="clear" w:color="auto" w:fill="D9D9D9" w:themeFill="background1" w:themeFillShade="D9"/>
          </w:tcPr>
          <w:p w:rsidR="005101D5" w:rsidRPr="005101D5" w:rsidRDefault="005101D5" w:rsidP="005101D5">
            <w:pPr>
              <w:jc w:val="center"/>
              <w:rPr>
                <w:b/>
              </w:rPr>
            </w:pPr>
            <w:r w:rsidRPr="005101D5">
              <w:rPr>
                <w:b/>
              </w:rPr>
              <w:t>Optimal Temperature*</w:t>
            </w:r>
          </w:p>
        </w:tc>
      </w:tr>
      <w:tr w:rsidR="005101D5" w:rsidTr="00AF51AF">
        <w:trPr>
          <w:trHeight w:val="301"/>
        </w:trPr>
        <w:tc>
          <w:tcPr>
            <w:tcW w:w="3050" w:type="dxa"/>
          </w:tcPr>
          <w:p w:rsidR="005101D5" w:rsidRPr="00AF51AF" w:rsidRDefault="00AF51AF">
            <w:r w:rsidRPr="00AF51AF">
              <w:t>Atlantic Salmon</w:t>
            </w:r>
          </w:p>
        </w:tc>
        <w:tc>
          <w:tcPr>
            <w:tcW w:w="3050" w:type="dxa"/>
          </w:tcPr>
          <w:p w:rsidR="005101D5" w:rsidRPr="00AF51AF" w:rsidRDefault="00AF51AF">
            <w:pPr>
              <w:rPr>
                <w:i/>
              </w:rPr>
            </w:pPr>
            <w:proofErr w:type="spellStart"/>
            <w:r w:rsidRPr="00AF51AF">
              <w:rPr>
                <w:i/>
              </w:rPr>
              <w:t>Salmo</w:t>
            </w:r>
            <w:proofErr w:type="spellEnd"/>
            <w:r w:rsidRPr="00AF51AF">
              <w:rPr>
                <w:i/>
              </w:rPr>
              <w:t xml:space="preserve"> </w:t>
            </w:r>
            <w:proofErr w:type="spellStart"/>
            <w:r w:rsidRPr="00AF51AF">
              <w:rPr>
                <w:i/>
              </w:rPr>
              <w:t>salar</w:t>
            </w:r>
            <w:proofErr w:type="spellEnd"/>
          </w:p>
        </w:tc>
        <w:tc>
          <w:tcPr>
            <w:tcW w:w="3050" w:type="dxa"/>
          </w:tcPr>
          <w:p w:rsidR="005101D5" w:rsidRPr="00AF51AF" w:rsidRDefault="00CD71B0" w:rsidP="00CD71B0">
            <w:pPr>
              <w:jc w:val="center"/>
            </w:pPr>
            <w:r w:rsidRPr="00CD71B0">
              <w:t xml:space="preserve">42 to 60 </w:t>
            </w:r>
            <w:r w:rsidRPr="00CD71B0">
              <w:rPr>
                <w:rFonts w:ascii="Arial" w:hAnsi="Arial" w:cs="Arial"/>
              </w:rPr>
              <w:t>◦</w:t>
            </w:r>
            <w:r w:rsidRPr="00CD71B0">
              <w:rPr>
                <w:rFonts w:ascii="Calibri" w:hAnsi="Calibri" w:cs="Calibri"/>
              </w:rPr>
              <w:t>F  or 5.6 to 15.6</w:t>
            </w:r>
            <w:r w:rsidRPr="00CD71B0">
              <w:rPr>
                <w:rFonts w:ascii="Arial" w:hAnsi="Arial" w:cs="Arial"/>
              </w:rPr>
              <w:t>◦</w:t>
            </w:r>
            <w:r w:rsidRPr="00CD71B0">
              <w:rPr>
                <w:rFonts w:ascii="Calibri" w:hAnsi="Calibri" w:cs="Calibri"/>
              </w:rPr>
              <w:t>C</w:t>
            </w:r>
          </w:p>
        </w:tc>
      </w:tr>
      <w:tr w:rsidR="005101D5" w:rsidTr="00AF51AF">
        <w:trPr>
          <w:trHeight w:val="301"/>
        </w:trPr>
        <w:tc>
          <w:tcPr>
            <w:tcW w:w="3050" w:type="dxa"/>
          </w:tcPr>
          <w:p w:rsidR="005101D5" w:rsidRPr="00AF51AF" w:rsidRDefault="00AF51AF">
            <w:r w:rsidRPr="00AF51AF">
              <w:t>Eastern Oyster/American Oyster</w:t>
            </w:r>
          </w:p>
        </w:tc>
        <w:tc>
          <w:tcPr>
            <w:tcW w:w="3050" w:type="dxa"/>
          </w:tcPr>
          <w:p w:rsidR="005101D5" w:rsidRPr="00CD71B0" w:rsidRDefault="00CD71B0">
            <w:pPr>
              <w:rPr>
                <w:i/>
              </w:rPr>
            </w:pPr>
            <w:proofErr w:type="spellStart"/>
            <w:r w:rsidRPr="00CD71B0">
              <w:rPr>
                <w:i/>
              </w:rPr>
              <w:t>Crassostrea</w:t>
            </w:r>
            <w:proofErr w:type="spellEnd"/>
            <w:r w:rsidRPr="00CD71B0">
              <w:rPr>
                <w:i/>
              </w:rPr>
              <w:t xml:space="preserve"> </w:t>
            </w:r>
            <w:proofErr w:type="spellStart"/>
            <w:r w:rsidRPr="00CD71B0">
              <w:rPr>
                <w:i/>
              </w:rPr>
              <w:t>virginica</w:t>
            </w:r>
            <w:proofErr w:type="spellEnd"/>
          </w:p>
        </w:tc>
        <w:tc>
          <w:tcPr>
            <w:tcW w:w="3050" w:type="dxa"/>
          </w:tcPr>
          <w:p w:rsidR="005101D5" w:rsidRPr="00AF51AF" w:rsidRDefault="00F0544B" w:rsidP="00F0544B">
            <w:pPr>
              <w:jc w:val="center"/>
            </w:pPr>
            <w:r>
              <w:t xml:space="preserve">64 to 81 </w:t>
            </w:r>
            <w:r w:rsidR="00CD71B0" w:rsidRPr="00CD71B0">
              <w:rPr>
                <w:rFonts w:ascii="Arial" w:hAnsi="Arial" w:cs="Arial"/>
              </w:rPr>
              <w:t>◦</w:t>
            </w:r>
            <w:r w:rsidR="00CD71B0" w:rsidRPr="00CD71B0">
              <w:rPr>
                <w:rFonts w:ascii="Calibri" w:hAnsi="Calibri" w:cs="Calibri"/>
              </w:rPr>
              <w:t xml:space="preserve">F  or </w:t>
            </w:r>
            <w:r>
              <w:rPr>
                <w:rFonts w:ascii="Calibri" w:hAnsi="Calibri" w:cs="Calibri"/>
              </w:rPr>
              <w:t xml:space="preserve">18 to 28 </w:t>
            </w:r>
            <w:r w:rsidR="00CD71B0" w:rsidRPr="00CD71B0">
              <w:rPr>
                <w:rFonts w:ascii="Arial" w:hAnsi="Arial" w:cs="Arial"/>
              </w:rPr>
              <w:t>◦</w:t>
            </w:r>
            <w:r w:rsidR="00CD71B0" w:rsidRPr="00CD71B0">
              <w:rPr>
                <w:rFonts w:ascii="Calibri" w:hAnsi="Calibri" w:cs="Calibri"/>
              </w:rPr>
              <w:t>C</w:t>
            </w:r>
          </w:p>
        </w:tc>
      </w:tr>
      <w:tr w:rsidR="005101D5" w:rsidTr="00AF51AF">
        <w:trPr>
          <w:trHeight w:val="285"/>
        </w:trPr>
        <w:tc>
          <w:tcPr>
            <w:tcW w:w="3050" w:type="dxa"/>
          </w:tcPr>
          <w:p w:rsidR="005101D5" w:rsidRPr="00AF51AF" w:rsidRDefault="00AF51AF">
            <w:r w:rsidRPr="00AF51AF">
              <w:t>Blue Mussel</w:t>
            </w:r>
          </w:p>
        </w:tc>
        <w:tc>
          <w:tcPr>
            <w:tcW w:w="3050" w:type="dxa"/>
          </w:tcPr>
          <w:p w:rsidR="005101D5" w:rsidRPr="00CD71B0" w:rsidRDefault="00CD71B0">
            <w:pPr>
              <w:rPr>
                <w:i/>
              </w:rPr>
            </w:pPr>
            <w:proofErr w:type="spellStart"/>
            <w:r w:rsidRPr="00CD71B0">
              <w:rPr>
                <w:i/>
              </w:rPr>
              <w:t>Mytilus</w:t>
            </w:r>
            <w:proofErr w:type="spellEnd"/>
            <w:r w:rsidRPr="00CD71B0">
              <w:rPr>
                <w:i/>
              </w:rPr>
              <w:t xml:space="preserve"> </w:t>
            </w:r>
            <w:proofErr w:type="spellStart"/>
            <w:r w:rsidRPr="00CD71B0">
              <w:rPr>
                <w:i/>
              </w:rPr>
              <w:t>edulis</w:t>
            </w:r>
            <w:proofErr w:type="spellEnd"/>
          </w:p>
        </w:tc>
        <w:tc>
          <w:tcPr>
            <w:tcW w:w="3050" w:type="dxa"/>
          </w:tcPr>
          <w:p w:rsidR="005101D5" w:rsidRPr="00AF51AF" w:rsidRDefault="00A54E9D" w:rsidP="00A54E9D">
            <w:pPr>
              <w:jc w:val="center"/>
            </w:pPr>
            <w:r>
              <w:t>41</w:t>
            </w:r>
            <w:r w:rsidR="00F0544B">
              <w:t xml:space="preserve"> to </w:t>
            </w:r>
            <w:r>
              <w:t>68</w:t>
            </w:r>
            <w:r w:rsidR="00CD71B0" w:rsidRPr="00CD71B0">
              <w:rPr>
                <w:rFonts w:ascii="Arial" w:hAnsi="Arial" w:cs="Arial"/>
              </w:rPr>
              <w:t>◦</w:t>
            </w:r>
            <w:r w:rsidR="00CD71B0" w:rsidRPr="00CD71B0">
              <w:rPr>
                <w:rFonts w:ascii="Calibri" w:hAnsi="Calibri" w:cs="Calibri"/>
              </w:rPr>
              <w:t xml:space="preserve">F  or </w:t>
            </w:r>
            <w:r>
              <w:rPr>
                <w:rFonts w:ascii="Calibri" w:hAnsi="Calibri" w:cs="Calibri"/>
              </w:rPr>
              <w:t>5</w:t>
            </w:r>
            <w:r w:rsidR="00F0544B">
              <w:rPr>
                <w:rFonts w:ascii="Calibri" w:hAnsi="Calibri" w:cs="Calibri"/>
              </w:rPr>
              <w:t xml:space="preserve"> to 2</w:t>
            </w:r>
            <w:r>
              <w:rPr>
                <w:rFonts w:ascii="Calibri" w:hAnsi="Calibri" w:cs="Calibri"/>
              </w:rPr>
              <w:t>0</w:t>
            </w:r>
            <w:r w:rsidR="00CD71B0" w:rsidRPr="00CD71B0">
              <w:rPr>
                <w:rFonts w:ascii="Arial" w:hAnsi="Arial" w:cs="Arial"/>
              </w:rPr>
              <w:t>◦</w:t>
            </w:r>
            <w:r w:rsidR="00CD71B0" w:rsidRPr="00CD71B0">
              <w:rPr>
                <w:rFonts w:ascii="Calibri" w:hAnsi="Calibri" w:cs="Calibri"/>
              </w:rPr>
              <w:t>C</w:t>
            </w:r>
          </w:p>
        </w:tc>
      </w:tr>
      <w:tr w:rsidR="005101D5" w:rsidTr="00AF51AF">
        <w:trPr>
          <w:trHeight w:val="285"/>
        </w:trPr>
        <w:tc>
          <w:tcPr>
            <w:tcW w:w="3050" w:type="dxa"/>
          </w:tcPr>
          <w:p w:rsidR="005101D5" w:rsidRPr="00AF51AF" w:rsidRDefault="00AF51AF">
            <w:r w:rsidRPr="00AF51AF">
              <w:t>Quahogs/Bay Quahogs</w:t>
            </w:r>
          </w:p>
        </w:tc>
        <w:tc>
          <w:tcPr>
            <w:tcW w:w="3050" w:type="dxa"/>
          </w:tcPr>
          <w:p w:rsidR="005101D5" w:rsidRPr="00CD71B0" w:rsidRDefault="00CD71B0">
            <w:pPr>
              <w:rPr>
                <w:i/>
              </w:rPr>
            </w:pPr>
            <w:proofErr w:type="spellStart"/>
            <w:r w:rsidRPr="00CD71B0">
              <w:rPr>
                <w:i/>
              </w:rPr>
              <w:t>Mercenaria</w:t>
            </w:r>
            <w:proofErr w:type="spellEnd"/>
            <w:r w:rsidRPr="00CD71B0">
              <w:rPr>
                <w:i/>
              </w:rPr>
              <w:t xml:space="preserve"> </w:t>
            </w:r>
            <w:proofErr w:type="spellStart"/>
            <w:r w:rsidRPr="00CD71B0">
              <w:rPr>
                <w:i/>
              </w:rPr>
              <w:t>mercenaria</w:t>
            </w:r>
            <w:proofErr w:type="spellEnd"/>
          </w:p>
        </w:tc>
        <w:tc>
          <w:tcPr>
            <w:tcW w:w="3050" w:type="dxa"/>
          </w:tcPr>
          <w:p w:rsidR="005101D5" w:rsidRPr="00AF51AF" w:rsidRDefault="00CD71B0" w:rsidP="00CD71B0">
            <w:pPr>
              <w:jc w:val="center"/>
            </w:pPr>
            <w:r w:rsidRPr="00CD71B0">
              <w:t>64.4 to 77</w:t>
            </w:r>
            <w:r w:rsidRPr="00CD71B0">
              <w:rPr>
                <w:rFonts w:ascii="Arial" w:hAnsi="Arial" w:cs="Arial"/>
              </w:rPr>
              <w:t>◦</w:t>
            </w:r>
            <w:r w:rsidRPr="00CD71B0">
              <w:rPr>
                <w:rFonts w:ascii="Calibri" w:hAnsi="Calibri" w:cs="Calibri"/>
              </w:rPr>
              <w:t>F  or  18  to 25</w:t>
            </w:r>
            <w:r w:rsidRPr="00CD71B0">
              <w:rPr>
                <w:rFonts w:ascii="Arial" w:hAnsi="Arial" w:cs="Arial"/>
              </w:rPr>
              <w:t>◦</w:t>
            </w:r>
            <w:r w:rsidRPr="00CD71B0">
              <w:rPr>
                <w:rFonts w:ascii="Calibri" w:hAnsi="Calibri" w:cs="Calibri"/>
              </w:rPr>
              <w:t>C</w:t>
            </w:r>
          </w:p>
        </w:tc>
      </w:tr>
      <w:tr w:rsidR="005101D5" w:rsidTr="00AF51AF">
        <w:trPr>
          <w:trHeight w:val="319"/>
        </w:trPr>
        <w:tc>
          <w:tcPr>
            <w:tcW w:w="3050" w:type="dxa"/>
          </w:tcPr>
          <w:p w:rsidR="005101D5" w:rsidRPr="00AF51AF" w:rsidRDefault="00AF51AF">
            <w:r w:rsidRPr="00AF51AF">
              <w:t>Soft shell clam</w:t>
            </w:r>
          </w:p>
        </w:tc>
        <w:tc>
          <w:tcPr>
            <w:tcW w:w="3050" w:type="dxa"/>
          </w:tcPr>
          <w:p w:rsidR="005101D5" w:rsidRPr="00CD71B0" w:rsidRDefault="00CD71B0">
            <w:pPr>
              <w:rPr>
                <w:i/>
              </w:rPr>
            </w:pPr>
            <w:proofErr w:type="spellStart"/>
            <w:r w:rsidRPr="00CD71B0">
              <w:rPr>
                <w:i/>
              </w:rPr>
              <w:t>Mya</w:t>
            </w:r>
            <w:proofErr w:type="spellEnd"/>
            <w:r w:rsidRPr="00CD71B0">
              <w:rPr>
                <w:i/>
              </w:rPr>
              <w:t xml:space="preserve"> </w:t>
            </w:r>
            <w:proofErr w:type="spellStart"/>
            <w:r w:rsidRPr="00CD71B0">
              <w:rPr>
                <w:i/>
              </w:rPr>
              <w:t>arenaria</w:t>
            </w:r>
            <w:proofErr w:type="spellEnd"/>
          </w:p>
        </w:tc>
        <w:tc>
          <w:tcPr>
            <w:tcW w:w="3050" w:type="dxa"/>
          </w:tcPr>
          <w:p w:rsidR="005101D5" w:rsidRPr="00AF51AF" w:rsidRDefault="00CD71B0" w:rsidP="00CD71B0">
            <w:pPr>
              <w:jc w:val="center"/>
            </w:pPr>
            <w:r w:rsidRPr="00CD71B0">
              <w:t>60.8 to 68</w:t>
            </w:r>
            <w:r w:rsidRPr="00CD71B0">
              <w:rPr>
                <w:rFonts w:ascii="Arial" w:hAnsi="Arial" w:cs="Arial"/>
              </w:rPr>
              <w:t>◦</w:t>
            </w:r>
            <w:r w:rsidRPr="00CD71B0">
              <w:rPr>
                <w:rFonts w:ascii="Calibri" w:hAnsi="Calibri" w:cs="Calibri"/>
              </w:rPr>
              <w:t>F  or  16  to 20</w:t>
            </w:r>
            <w:r w:rsidRPr="00CD71B0">
              <w:rPr>
                <w:rFonts w:ascii="Arial" w:hAnsi="Arial" w:cs="Arial"/>
              </w:rPr>
              <w:t>◦</w:t>
            </w:r>
            <w:r w:rsidRPr="00CD71B0">
              <w:rPr>
                <w:rFonts w:ascii="Calibri" w:hAnsi="Calibri" w:cs="Calibri"/>
              </w:rPr>
              <w:t>C</w:t>
            </w:r>
          </w:p>
        </w:tc>
      </w:tr>
      <w:tr w:rsidR="00425D24" w:rsidTr="00AF51AF">
        <w:trPr>
          <w:trHeight w:val="319"/>
        </w:trPr>
        <w:tc>
          <w:tcPr>
            <w:tcW w:w="3050" w:type="dxa"/>
          </w:tcPr>
          <w:p w:rsidR="00425D24" w:rsidRPr="00AF51AF" w:rsidRDefault="00425D24">
            <w:r>
              <w:t>Giant sea scallops/sea scallops</w:t>
            </w:r>
          </w:p>
        </w:tc>
        <w:tc>
          <w:tcPr>
            <w:tcW w:w="3050" w:type="dxa"/>
          </w:tcPr>
          <w:p w:rsidR="00425D24" w:rsidRPr="00CD71B0" w:rsidRDefault="00425D24">
            <w:pPr>
              <w:rPr>
                <w:i/>
              </w:rPr>
            </w:pPr>
            <w:proofErr w:type="spellStart"/>
            <w:r w:rsidRPr="00425D24">
              <w:rPr>
                <w:i/>
              </w:rPr>
              <w:t>Placopecten</w:t>
            </w:r>
            <w:proofErr w:type="spellEnd"/>
            <w:r w:rsidRPr="00425D24">
              <w:rPr>
                <w:i/>
              </w:rPr>
              <w:t xml:space="preserve"> </w:t>
            </w:r>
            <w:proofErr w:type="spellStart"/>
            <w:r w:rsidRPr="00425D24">
              <w:rPr>
                <w:i/>
              </w:rPr>
              <w:t>magellanicus</w:t>
            </w:r>
            <w:proofErr w:type="spellEnd"/>
          </w:p>
        </w:tc>
        <w:tc>
          <w:tcPr>
            <w:tcW w:w="3050" w:type="dxa"/>
          </w:tcPr>
          <w:p w:rsidR="00425D24" w:rsidRPr="00425D24" w:rsidRDefault="00425D24" w:rsidP="00CD71B0">
            <w:pPr>
              <w:jc w:val="center"/>
              <w:rPr>
                <w:rFonts w:ascii="Calibri" w:hAnsi="Calibri"/>
                <w:color w:val="000000"/>
              </w:rPr>
            </w:pPr>
            <w:r>
              <w:rPr>
                <w:rFonts w:ascii="Calibri" w:hAnsi="Calibri"/>
                <w:color w:val="000000"/>
              </w:rPr>
              <w:t>43.7 to 60.8</w:t>
            </w:r>
            <w:r>
              <w:rPr>
                <w:rFonts w:ascii="Arial" w:hAnsi="Arial" w:cs="Arial"/>
                <w:color w:val="000000"/>
              </w:rPr>
              <w:t>◦</w:t>
            </w:r>
            <w:r>
              <w:rPr>
                <w:rFonts w:ascii="Calibri" w:hAnsi="Calibri" w:cs="Calibri"/>
                <w:color w:val="000000"/>
              </w:rPr>
              <w:t>F</w:t>
            </w:r>
            <w:r>
              <w:rPr>
                <w:rFonts w:ascii="Calibri" w:hAnsi="Calibri"/>
                <w:color w:val="000000"/>
              </w:rPr>
              <w:t xml:space="preserve">  or 6.5 to 16</w:t>
            </w:r>
            <w:r>
              <w:rPr>
                <w:rFonts w:ascii="Arial" w:hAnsi="Arial" w:cs="Arial"/>
                <w:color w:val="000000"/>
              </w:rPr>
              <w:t>◦</w:t>
            </w:r>
            <w:r>
              <w:rPr>
                <w:rFonts w:ascii="Calibri" w:hAnsi="Calibri" w:cs="Calibri"/>
                <w:color w:val="000000"/>
              </w:rPr>
              <w:t>C</w:t>
            </w:r>
            <w:r>
              <w:rPr>
                <w:rFonts w:ascii="Calibri" w:hAnsi="Calibri"/>
                <w:color w:val="000000"/>
              </w:rPr>
              <w:t xml:space="preserve"> </w:t>
            </w:r>
          </w:p>
        </w:tc>
      </w:tr>
      <w:tr w:rsidR="00425D24" w:rsidTr="00AF51AF">
        <w:trPr>
          <w:trHeight w:val="319"/>
        </w:trPr>
        <w:tc>
          <w:tcPr>
            <w:tcW w:w="3050" w:type="dxa"/>
          </w:tcPr>
          <w:p w:rsidR="00425D24" w:rsidRDefault="00425D24">
            <w:r>
              <w:t>Surf clam</w:t>
            </w:r>
          </w:p>
        </w:tc>
        <w:tc>
          <w:tcPr>
            <w:tcW w:w="3050" w:type="dxa"/>
          </w:tcPr>
          <w:p w:rsidR="00425D24" w:rsidRPr="00425D24" w:rsidRDefault="00425D24">
            <w:pPr>
              <w:rPr>
                <w:i/>
              </w:rPr>
            </w:pPr>
            <w:proofErr w:type="spellStart"/>
            <w:r w:rsidRPr="00425D24">
              <w:rPr>
                <w:i/>
              </w:rPr>
              <w:t>Spisula</w:t>
            </w:r>
            <w:proofErr w:type="spellEnd"/>
            <w:r w:rsidRPr="00425D24">
              <w:rPr>
                <w:i/>
              </w:rPr>
              <w:t xml:space="preserve">  </w:t>
            </w:r>
            <w:proofErr w:type="spellStart"/>
            <w:r w:rsidRPr="00425D24">
              <w:rPr>
                <w:i/>
              </w:rPr>
              <w:t>solidissimia</w:t>
            </w:r>
            <w:proofErr w:type="spellEnd"/>
          </w:p>
        </w:tc>
        <w:tc>
          <w:tcPr>
            <w:tcW w:w="3050" w:type="dxa"/>
          </w:tcPr>
          <w:p w:rsidR="00425D24" w:rsidRDefault="00425D24" w:rsidP="00CD71B0">
            <w:pPr>
              <w:jc w:val="center"/>
              <w:rPr>
                <w:rFonts w:ascii="Calibri" w:hAnsi="Calibri"/>
                <w:color w:val="000000"/>
              </w:rPr>
            </w:pPr>
            <w:r>
              <w:rPr>
                <w:rFonts w:ascii="Calibri" w:hAnsi="Calibri"/>
                <w:color w:val="000000"/>
              </w:rPr>
              <w:t>57.2 to 86</w:t>
            </w:r>
            <w:r>
              <w:rPr>
                <w:rFonts w:ascii="Arial" w:hAnsi="Arial" w:cs="Arial"/>
                <w:color w:val="000000"/>
              </w:rPr>
              <w:t>◦</w:t>
            </w:r>
            <w:r>
              <w:rPr>
                <w:rFonts w:ascii="Calibri" w:hAnsi="Calibri" w:cs="Calibri"/>
                <w:color w:val="000000"/>
              </w:rPr>
              <w:t xml:space="preserve">F with optimal at 71.6 </w:t>
            </w:r>
            <w:r>
              <w:rPr>
                <w:rFonts w:ascii="Arial" w:hAnsi="Arial" w:cs="Arial"/>
                <w:color w:val="000000"/>
              </w:rPr>
              <w:t>◦</w:t>
            </w:r>
            <w:r>
              <w:rPr>
                <w:rFonts w:ascii="Calibri" w:hAnsi="Calibri" w:cs="Calibri"/>
                <w:color w:val="000000"/>
              </w:rPr>
              <w:t>F or</w:t>
            </w:r>
            <w:r>
              <w:rPr>
                <w:rFonts w:ascii="Calibri" w:hAnsi="Calibri"/>
                <w:color w:val="000000"/>
              </w:rPr>
              <w:t xml:space="preserve">  14 to 30</w:t>
            </w:r>
            <w:r>
              <w:rPr>
                <w:rFonts w:ascii="Arial" w:hAnsi="Arial" w:cs="Arial"/>
                <w:color w:val="000000"/>
              </w:rPr>
              <w:t>◦</w:t>
            </w:r>
            <w:r>
              <w:rPr>
                <w:rFonts w:ascii="Calibri" w:hAnsi="Calibri" w:cs="Calibri"/>
                <w:color w:val="000000"/>
              </w:rPr>
              <w:t>C with optimal at 22</w:t>
            </w:r>
            <w:r>
              <w:rPr>
                <w:rFonts w:ascii="Arial" w:hAnsi="Arial" w:cs="Arial"/>
                <w:color w:val="000000"/>
              </w:rPr>
              <w:t>◦</w:t>
            </w:r>
            <w:r>
              <w:rPr>
                <w:rFonts w:ascii="Calibri" w:hAnsi="Calibri"/>
                <w:color w:val="000000"/>
              </w:rPr>
              <w:t>C</w:t>
            </w:r>
          </w:p>
        </w:tc>
      </w:tr>
    </w:tbl>
    <w:p w:rsidR="005101D5" w:rsidRPr="00CD71B0" w:rsidRDefault="005101D5">
      <w:pPr>
        <w:rPr>
          <w:i/>
          <w:sz w:val="18"/>
          <w:szCs w:val="18"/>
        </w:rPr>
      </w:pPr>
      <w:r w:rsidRPr="00CD71B0">
        <w:rPr>
          <w:i/>
          <w:sz w:val="18"/>
          <w:szCs w:val="18"/>
        </w:rPr>
        <w:t>*Optimal temperatures cover the various life stages of the species in question.</w:t>
      </w:r>
    </w:p>
    <w:p w:rsidR="005101D5" w:rsidRDefault="005101D5" w:rsidP="005101D5">
      <w:pPr>
        <w:rPr>
          <w:lang w:val="en-CA"/>
        </w:rPr>
      </w:pPr>
      <w:r>
        <w:rPr>
          <w:lang w:val="en-CA"/>
        </w:rPr>
        <w:t xml:space="preserve">Sea level rise (SLR) may not impact “at sea” production facilities directly but coastal infrastructure that supports aquaculture may be at risk. SLR indicates a permanent loss of land. It also exposes more coastline to inundation and erosion. </w:t>
      </w:r>
    </w:p>
    <w:p w:rsidR="005101D5" w:rsidRDefault="005101D5" w:rsidP="005101D5">
      <w:pPr>
        <w:rPr>
          <w:lang w:val="en-CA"/>
        </w:rPr>
      </w:pPr>
      <w:r>
        <w:rPr>
          <w:lang w:val="en-CA"/>
        </w:rPr>
        <w:t>More intense storms have several characteristics that put aquaculture at risk to damage and loss. Wind and wave damage to farming infrastructure can be highly detrimental to overall production. This includes coastal as well as “at sea” structures. Such wind and wave action may also increase the risk of loss of farmed species to the open ocean.</w:t>
      </w:r>
    </w:p>
    <w:p w:rsidR="005101D5" w:rsidRDefault="005101D5" w:rsidP="005101D5">
      <w:pPr>
        <w:rPr>
          <w:lang w:val="en-CA"/>
        </w:rPr>
      </w:pPr>
      <w:r>
        <w:rPr>
          <w:lang w:val="en-CA"/>
        </w:rPr>
        <w:t xml:space="preserve">Heavy precipitation, typically associated with these more intense storms, will increase runoff into small embayments, increasing silt and material contamination as well as the potential for an increase in toxics in </w:t>
      </w:r>
      <w:proofErr w:type="spellStart"/>
      <w:r>
        <w:rPr>
          <w:lang w:val="en-CA"/>
        </w:rPr>
        <w:t>nearshore</w:t>
      </w:r>
      <w:proofErr w:type="spellEnd"/>
      <w:r>
        <w:rPr>
          <w:lang w:val="en-CA"/>
        </w:rPr>
        <w:t xml:space="preserve"> environments.</w:t>
      </w:r>
    </w:p>
    <w:p w:rsidR="005101D5" w:rsidRDefault="005101D5" w:rsidP="005101D5">
      <w:pPr>
        <w:rPr>
          <w:lang w:val="en-CA"/>
        </w:rPr>
      </w:pPr>
      <w:r>
        <w:rPr>
          <w:lang w:val="en-CA"/>
        </w:rPr>
        <w:t xml:space="preserve">Adaptation strategies related to these impacts may include appropriate species choice, flexibility in </w:t>
      </w:r>
      <w:proofErr w:type="spellStart"/>
      <w:r>
        <w:rPr>
          <w:lang w:val="en-CA"/>
        </w:rPr>
        <w:t>siting</w:t>
      </w:r>
      <w:proofErr w:type="spellEnd"/>
      <w:r>
        <w:rPr>
          <w:lang w:val="en-CA"/>
        </w:rPr>
        <w:t>, flexibil</w:t>
      </w:r>
      <w:r w:rsidR="00CD71B0">
        <w:rPr>
          <w:lang w:val="en-CA"/>
        </w:rPr>
        <w:t xml:space="preserve">ity in farming structures </w:t>
      </w:r>
      <w:r>
        <w:rPr>
          <w:lang w:val="en-CA"/>
        </w:rPr>
        <w:t xml:space="preserve">and appropriate decisions related to prevention of land runoff and contamination of </w:t>
      </w:r>
      <w:proofErr w:type="spellStart"/>
      <w:r>
        <w:rPr>
          <w:lang w:val="en-CA"/>
        </w:rPr>
        <w:t>nearshore</w:t>
      </w:r>
      <w:proofErr w:type="spellEnd"/>
      <w:r>
        <w:rPr>
          <w:lang w:val="en-CA"/>
        </w:rPr>
        <w:t xml:space="preserve"> environment. Links to more information are available through the ESIP Indicator Reporting Tool (www2.gulfofmaine.org/esip/reporting).</w:t>
      </w:r>
    </w:p>
    <w:p w:rsidR="00472937" w:rsidRDefault="00472937" w:rsidP="005101D5">
      <w:pPr>
        <w:rPr>
          <w:lang w:val="en-CA"/>
        </w:rPr>
      </w:pPr>
      <w:r w:rsidRPr="00472937">
        <w:rPr>
          <w:lang w:val="en-CA"/>
        </w:rPr>
        <w:t>One, often over looked, issue in climate change is the change in pathogens that will occur under a warm</w:t>
      </w:r>
      <w:r w:rsidR="00BA73C1">
        <w:rPr>
          <w:lang w:val="en-CA"/>
        </w:rPr>
        <w:t>ing regime. Like fish and shell</w:t>
      </w:r>
      <w:r w:rsidRPr="00472937">
        <w:rPr>
          <w:lang w:val="en-CA"/>
        </w:rPr>
        <w:t xml:space="preserve">fish the pathogens these animals support can also have an optimum environment that ensures the survival of live stages when they are not infecting the host.  For example cold water </w:t>
      </w:r>
      <w:proofErr w:type="spellStart"/>
      <w:r w:rsidRPr="00472937">
        <w:rPr>
          <w:lang w:val="en-CA"/>
        </w:rPr>
        <w:t>Vibriosis</w:t>
      </w:r>
      <w:proofErr w:type="spellEnd"/>
      <w:r w:rsidRPr="00472937">
        <w:rPr>
          <w:lang w:val="en-CA"/>
        </w:rPr>
        <w:t xml:space="preserve"> would be likely to disappear from the Gulf of Maine under a rising temperature regime. While sea lice </w:t>
      </w:r>
      <w:r w:rsidRPr="00472937">
        <w:rPr>
          <w:lang w:val="en-CA"/>
        </w:rPr>
        <w:lastRenderedPageBreak/>
        <w:t>(</w:t>
      </w:r>
      <w:proofErr w:type="spellStart"/>
      <w:r w:rsidRPr="00472937">
        <w:rPr>
          <w:i/>
          <w:lang w:val="en-CA"/>
        </w:rPr>
        <w:t>Lepeophtheirus</w:t>
      </w:r>
      <w:proofErr w:type="spellEnd"/>
      <w:r w:rsidRPr="00472937">
        <w:rPr>
          <w:i/>
          <w:lang w:val="en-CA"/>
        </w:rPr>
        <w:t xml:space="preserve"> </w:t>
      </w:r>
      <w:proofErr w:type="spellStart"/>
      <w:r w:rsidRPr="00472937">
        <w:rPr>
          <w:i/>
          <w:lang w:val="en-CA"/>
        </w:rPr>
        <w:t>salmonis</w:t>
      </w:r>
      <w:proofErr w:type="spellEnd"/>
      <w:r w:rsidRPr="00472937">
        <w:rPr>
          <w:lang w:val="en-CA"/>
        </w:rPr>
        <w:t>) would likely benefit from a warmer environment the earlier spring and later autumn would give them a  longer reproductive season. New pathogens may also appear in the Gulf of Maine as new species and intermediate hosts coloni</w:t>
      </w:r>
      <w:r w:rsidR="00BA73C1">
        <w:rPr>
          <w:lang w:val="en-CA"/>
        </w:rPr>
        <w:t>z</w:t>
      </w:r>
      <w:r w:rsidRPr="00472937">
        <w:rPr>
          <w:lang w:val="en-CA"/>
        </w:rPr>
        <w:t>e the warmer conditions of the Gulf of Maine under a rising temperature regime.</w:t>
      </w:r>
    </w:p>
    <w:p w:rsidR="005101D5" w:rsidRDefault="005101D5">
      <w:pPr>
        <w:rPr>
          <w:b/>
          <w:color w:val="FF0000"/>
        </w:rPr>
      </w:pPr>
    </w:p>
    <w:p w:rsidR="005101D5" w:rsidRDefault="005101D5">
      <w:pPr>
        <w:rPr>
          <w:b/>
          <w:color w:val="FF0000"/>
        </w:rPr>
      </w:pPr>
    </w:p>
    <w:p w:rsidR="008B0DA6" w:rsidRDefault="008B0DA6">
      <w:pPr>
        <w:rPr>
          <w:b/>
          <w:color w:val="FF0000"/>
        </w:rPr>
      </w:pPr>
      <w:r w:rsidRPr="00906FD5">
        <w:rPr>
          <w:b/>
          <w:color w:val="FF0000"/>
        </w:rPr>
        <w:t>Page 4</w:t>
      </w:r>
    </w:p>
    <w:p w:rsidR="00867E91" w:rsidRDefault="009901C6" w:rsidP="00867E91">
      <w:pPr>
        <w:rPr>
          <w:b/>
        </w:rPr>
      </w:pPr>
      <w:r>
        <w:rPr>
          <w:b/>
        </w:rPr>
        <w:t>Environmental Effects of Bivalve Shellfish Culture</w:t>
      </w:r>
    </w:p>
    <w:p w:rsidR="009901C6" w:rsidRPr="009901C6" w:rsidRDefault="009901C6" w:rsidP="009901C6">
      <w:r w:rsidRPr="009901C6">
        <w:t xml:space="preserve">Bivalve aquaculture is very different from the culture of other aquatic animals such as finfish in that cultured shellfish use the phytoplankton naturally occurring in the water, thus avoiding the need to external feed.  No net nutrients are added to the water body as a result of shellfish aquaculture, but rather nutrients are either transferred through phytoplankton to feces and </w:t>
      </w:r>
      <w:proofErr w:type="spellStart"/>
      <w:r w:rsidRPr="009901C6">
        <w:t>pseudofeces</w:t>
      </w:r>
      <w:proofErr w:type="spellEnd"/>
      <w:r w:rsidRPr="009901C6">
        <w:t xml:space="preserve"> which are deposited to benthic sediments, or incorporated to the shell and soft tissues.   When shellfish are harvested, a net removal of nutrients from </w:t>
      </w:r>
      <w:r w:rsidR="00BA73C1">
        <w:t xml:space="preserve">the </w:t>
      </w:r>
      <w:r w:rsidRPr="009901C6">
        <w:t xml:space="preserve">water body is achieved. </w:t>
      </w:r>
    </w:p>
    <w:p w:rsidR="00D74881" w:rsidRDefault="009901C6" w:rsidP="009901C6">
      <w:r w:rsidRPr="009901C6">
        <w:t xml:space="preserve">Commonly cultured bivalves such as oysters, clams and mussels are filter feeders.  They ingest not only phytoplankton and other living particles as food, but also detritus.  The non-food particles are then deposited to the bottom as </w:t>
      </w:r>
      <w:proofErr w:type="spellStart"/>
      <w:r w:rsidRPr="009901C6">
        <w:t>pseudofeces</w:t>
      </w:r>
      <w:proofErr w:type="spellEnd"/>
      <w:r w:rsidRPr="009901C6">
        <w:t xml:space="preserve">.  In most cases, water clarity and thus light penetration is improved due to bivalve aquaculture activities.  In addition to water clarity, other water quality parameters such as dissolved oxygen, nutrients and particulate matters can change due to bivalve aquaculture activities. </w:t>
      </w:r>
    </w:p>
    <w:p w:rsidR="00D74881" w:rsidRPr="009901C6" w:rsidRDefault="00D74881" w:rsidP="009901C6">
      <w:r w:rsidRPr="009901C6">
        <w:t>Ecological services of bivalve shellfish aquaculture include providing additional habitats for other species</w:t>
      </w:r>
      <w:r>
        <w:t>, as a result of complicated three dimensional cultural structures such as long lines and floating cages</w:t>
      </w:r>
      <w:r w:rsidRPr="009901C6">
        <w:t xml:space="preserve">.  Local species abundance and diversity of fish and invertebrates are usually increased.  Another ecological benefit of bivalve shellfish aquaculture is helping eelgrass recover due to improved light penetration.  </w:t>
      </w:r>
    </w:p>
    <w:p w:rsidR="009901C6" w:rsidRPr="009901C6" w:rsidRDefault="009901C6" w:rsidP="009901C6">
      <w:r w:rsidRPr="009901C6">
        <w:t>Harvesting of shellfish with dredges can cause changes in sediment structure and benthic communities.   However, with proper management, bivalve shellfish activities can minimize the environmental impacts and provide positive benefit to the surrounding ecosystem.</w:t>
      </w:r>
    </w:p>
    <w:p w:rsidR="009901C6" w:rsidRDefault="009901C6" w:rsidP="00867E91">
      <w:pPr>
        <w:rPr>
          <w:b/>
        </w:rPr>
      </w:pPr>
    </w:p>
    <w:p w:rsidR="00867E91" w:rsidRDefault="00867E91" w:rsidP="00867E91">
      <w:pPr>
        <w:rPr>
          <w:b/>
        </w:rPr>
      </w:pPr>
      <w:r>
        <w:rPr>
          <w:b/>
        </w:rPr>
        <w:t>Focus Box: Indicator Reporting Tool</w:t>
      </w:r>
    </w:p>
    <w:p w:rsidR="00867E91" w:rsidRDefault="00867E91" w:rsidP="00867E91">
      <w:r>
        <w:lastRenderedPageBreak/>
        <w:t xml:space="preserve">All data used for the two indicators discussed in this fact sheet are available for graphing and downloading via ESIP's Indicator Reporting Tool. The tool (available at www2.gulfofmaine.org/esip/reporting) uses familiar mapping programs to enable users to locate aquaculture data in the region </w:t>
      </w:r>
      <w:r w:rsidR="00504272">
        <w:t xml:space="preserve">and </w:t>
      </w:r>
      <w:r>
        <w:t>build graphs for the time periods of interest. Snapshots such as those provided by the tool can provide critical information in a timely fashion for those faced with making decisions quickly. Questions such as the following can be answered using the tool:</w:t>
      </w:r>
    </w:p>
    <w:p w:rsidR="00867E91" w:rsidRDefault="00867E91" w:rsidP="00867E91">
      <w:r>
        <w:t>1. How has the economic value of aquaculture varied over time as compared to extreme precipitation trends?</w:t>
      </w:r>
    </w:p>
    <w:p w:rsidR="00867E91" w:rsidRDefault="00867E91" w:rsidP="00867E91">
      <w:r>
        <w:t>2. Where do blue mussels used in the Gulfwatch program contain high levels of lead in their tissues?</w:t>
      </w:r>
    </w:p>
    <w:p w:rsidR="00867E91" w:rsidRPr="00867E91" w:rsidRDefault="00867E91" w:rsidP="00867E91">
      <w:r>
        <w:t xml:space="preserve">3. Where is eelgrass present that might be affected by </w:t>
      </w:r>
      <w:r w:rsidR="00AB10A5">
        <w:t xml:space="preserve">an </w:t>
      </w:r>
      <w:r>
        <w:t>aquaculture site?</w:t>
      </w:r>
    </w:p>
    <w:p w:rsidR="00867E91" w:rsidRPr="00906FD5" w:rsidRDefault="00867E91">
      <w:pPr>
        <w:rPr>
          <w:b/>
          <w:color w:val="FF0000"/>
        </w:rPr>
      </w:pPr>
    </w:p>
    <w:sectPr w:rsidR="00867E91" w:rsidRPr="00906FD5" w:rsidSect="00C57491">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5E4590"/>
    <w:multiLevelType w:val="hybridMultilevel"/>
    <w:tmpl w:val="E6168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8B0DA6"/>
    <w:rsid w:val="00022BCF"/>
    <w:rsid w:val="00063782"/>
    <w:rsid w:val="000755D2"/>
    <w:rsid w:val="000A1A4D"/>
    <w:rsid w:val="00131768"/>
    <w:rsid w:val="00131934"/>
    <w:rsid w:val="001662EE"/>
    <w:rsid w:val="00167C55"/>
    <w:rsid w:val="001B1F12"/>
    <w:rsid w:val="002858B3"/>
    <w:rsid w:val="002E2655"/>
    <w:rsid w:val="003D26FA"/>
    <w:rsid w:val="00425D24"/>
    <w:rsid w:val="00472937"/>
    <w:rsid w:val="004F0008"/>
    <w:rsid w:val="00504272"/>
    <w:rsid w:val="005101D5"/>
    <w:rsid w:val="0056375D"/>
    <w:rsid w:val="00583FE9"/>
    <w:rsid w:val="005E11BD"/>
    <w:rsid w:val="005F58BF"/>
    <w:rsid w:val="0069706F"/>
    <w:rsid w:val="006B61FE"/>
    <w:rsid w:val="006E6F03"/>
    <w:rsid w:val="0071619E"/>
    <w:rsid w:val="0072549F"/>
    <w:rsid w:val="007C6F17"/>
    <w:rsid w:val="00867E91"/>
    <w:rsid w:val="008B0DA6"/>
    <w:rsid w:val="00906FD5"/>
    <w:rsid w:val="00950648"/>
    <w:rsid w:val="009901C6"/>
    <w:rsid w:val="00A10894"/>
    <w:rsid w:val="00A250B1"/>
    <w:rsid w:val="00A54E9D"/>
    <w:rsid w:val="00A65573"/>
    <w:rsid w:val="00AB10A5"/>
    <w:rsid w:val="00AF51AF"/>
    <w:rsid w:val="00B6331E"/>
    <w:rsid w:val="00BA73C1"/>
    <w:rsid w:val="00BE2AB1"/>
    <w:rsid w:val="00C57491"/>
    <w:rsid w:val="00C963F7"/>
    <w:rsid w:val="00CD4983"/>
    <w:rsid w:val="00CD71B0"/>
    <w:rsid w:val="00D02CDA"/>
    <w:rsid w:val="00D25D42"/>
    <w:rsid w:val="00D41F44"/>
    <w:rsid w:val="00D7343E"/>
    <w:rsid w:val="00D74881"/>
    <w:rsid w:val="00DE7D54"/>
    <w:rsid w:val="00E25054"/>
    <w:rsid w:val="00E853DA"/>
    <w:rsid w:val="00EE3BE3"/>
    <w:rsid w:val="00F0544B"/>
    <w:rsid w:val="00F71087"/>
    <w:rsid w:val="00F76AE4"/>
    <w:rsid w:val="00F81493"/>
    <w:rsid w:val="00FE61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D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74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81493"/>
    <w:pPr>
      <w:ind w:left="720"/>
      <w:contextualSpacing/>
    </w:pPr>
  </w:style>
</w:styles>
</file>

<file path=word/webSettings.xml><?xml version="1.0" encoding="utf-8"?>
<w:webSettings xmlns:r="http://schemas.openxmlformats.org/officeDocument/2006/relationships" xmlns:w="http://schemas.openxmlformats.org/wordprocessingml/2006/main">
  <w:divs>
    <w:div w:id="433014094">
      <w:bodyDiv w:val="1"/>
      <w:marLeft w:val="0"/>
      <w:marRight w:val="0"/>
      <w:marTop w:val="0"/>
      <w:marBottom w:val="0"/>
      <w:divBdr>
        <w:top w:val="none" w:sz="0" w:space="0" w:color="auto"/>
        <w:left w:val="none" w:sz="0" w:space="0" w:color="auto"/>
        <w:bottom w:val="none" w:sz="0" w:space="0" w:color="auto"/>
        <w:right w:val="none" w:sz="0" w:space="0" w:color="auto"/>
      </w:divBdr>
    </w:div>
    <w:div w:id="144056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2459</Words>
  <Characters>14019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New England</Company>
  <LinksUpToDate>false</LinksUpToDate>
  <CharactersWithSpaces>16446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Tilburg</dc:creator>
  <cp:keywords/>
  <dc:description/>
  <cp:lastModifiedBy>Charles Tilburg</cp:lastModifiedBy>
  <cp:revision>8</cp:revision>
  <cp:lastPrinted>2010-09-27T14:17:00Z</cp:lastPrinted>
  <dcterms:created xsi:type="dcterms:W3CDTF">2010-09-28T18:30:00Z</dcterms:created>
  <dcterms:modified xsi:type="dcterms:W3CDTF">2010-10-12T00:07:00Z</dcterms:modified>
</cp:coreProperties>
</file>