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7E1" w:rsidRDefault="007A77E1">
      <w:pPr>
        <w:rPr>
          <w:b/>
        </w:rPr>
      </w:pPr>
      <w:r>
        <w:rPr>
          <w:b/>
        </w:rPr>
        <w:t xml:space="preserve">Coastal Development Conference Call - </w:t>
      </w:r>
      <w:r w:rsidR="003849BA">
        <w:rPr>
          <w:b/>
        </w:rPr>
        <w:t>October 31</w:t>
      </w:r>
      <w:r w:rsidR="000C3EA7">
        <w:rPr>
          <w:b/>
        </w:rPr>
        <w:t>, 2011</w:t>
      </w:r>
    </w:p>
    <w:p w:rsidR="00A24DB4" w:rsidRDefault="00A24DB4"/>
    <w:p w:rsidR="007A77E1" w:rsidRPr="00F0073D" w:rsidRDefault="007A77E1">
      <w:pPr>
        <w:rPr>
          <w:b/>
          <w:color w:val="000000" w:themeColor="text1"/>
        </w:rPr>
      </w:pPr>
      <w:r w:rsidRPr="00F0073D">
        <w:rPr>
          <w:b/>
          <w:color w:val="000000" w:themeColor="text1"/>
        </w:rPr>
        <w:t>Participants:</w:t>
      </w:r>
    </w:p>
    <w:p w:rsidR="005C4236" w:rsidRPr="00146161" w:rsidRDefault="002A21A1" w:rsidP="00F0073D">
      <w:r w:rsidRPr="00146161">
        <w:rPr>
          <w:color w:val="FF0000"/>
        </w:rPr>
        <w:tab/>
      </w:r>
      <w:r w:rsidR="00146161" w:rsidRPr="00146161">
        <w:t>Justin Huston (NS Department of Fisheries and Aquaculture)</w:t>
      </w:r>
    </w:p>
    <w:p w:rsidR="00146161" w:rsidRPr="00146161" w:rsidRDefault="00146161" w:rsidP="00F0073D">
      <w:r w:rsidRPr="00146161">
        <w:tab/>
        <w:t>Julia Knisel (Mass CZM)</w:t>
      </w:r>
    </w:p>
    <w:p w:rsidR="00F0073D" w:rsidRPr="00146161" w:rsidRDefault="00F0073D" w:rsidP="00F0073D">
      <w:r w:rsidRPr="00146161">
        <w:rPr>
          <w:color w:val="FF0000"/>
        </w:rPr>
        <w:tab/>
      </w:r>
      <w:r w:rsidRPr="00146161">
        <w:t>David Mitchell (NS Department of Fisheries and Aquaculture)</w:t>
      </w:r>
    </w:p>
    <w:p w:rsidR="00222AE3" w:rsidRPr="00146161" w:rsidRDefault="00222AE3" w:rsidP="003F661F">
      <w:r w:rsidRPr="00146161">
        <w:rPr>
          <w:color w:val="FF0000"/>
        </w:rPr>
        <w:tab/>
      </w:r>
      <w:r w:rsidRPr="00146161">
        <w:t>Becca Newhall (NOAA)</w:t>
      </w:r>
    </w:p>
    <w:p w:rsidR="00222AE3" w:rsidRPr="00146161" w:rsidRDefault="00222AE3" w:rsidP="003F661F">
      <w:r w:rsidRPr="00146161">
        <w:tab/>
        <w:t>Daniel Savard (NB Dept. of Env.)</w:t>
      </w:r>
    </w:p>
    <w:p w:rsidR="003F661F" w:rsidRPr="00146161" w:rsidRDefault="002A21A1" w:rsidP="003F661F">
      <w:r w:rsidRPr="00146161">
        <w:rPr>
          <w:color w:val="FF0000"/>
        </w:rPr>
        <w:tab/>
      </w:r>
      <w:r w:rsidR="003F661F" w:rsidRPr="00146161">
        <w:t>Marilyn ten Brink (EPA)</w:t>
      </w:r>
    </w:p>
    <w:p w:rsidR="003F661F" w:rsidRDefault="003F661F" w:rsidP="003F661F">
      <w:r w:rsidRPr="00146161">
        <w:rPr>
          <w:b/>
        </w:rPr>
        <w:tab/>
      </w:r>
      <w:r w:rsidRPr="00146161">
        <w:t>Christine Tilburg (GOMC - ESIP)</w:t>
      </w:r>
    </w:p>
    <w:p w:rsidR="00146161" w:rsidRPr="00146161" w:rsidRDefault="00146161" w:rsidP="003F661F">
      <w:r>
        <w:tab/>
        <w:t>Carol Tukey (Town of Harpswell)</w:t>
      </w:r>
    </w:p>
    <w:p w:rsidR="00F0073D" w:rsidRPr="00146161" w:rsidRDefault="00F0073D" w:rsidP="003F661F">
      <w:pPr>
        <w:rPr>
          <w:color w:val="FF0000"/>
        </w:rPr>
      </w:pPr>
    </w:p>
    <w:p w:rsidR="00F0073D" w:rsidRDefault="00F0073D" w:rsidP="003F661F">
      <w:pPr>
        <w:rPr>
          <w:i/>
        </w:rPr>
      </w:pPr>
      <w:r>
        <w:rPr>
          <w:i/>
        </w:rPr>
        <w:t>* Slides were prepared for use with this conference call</w:t>
      </w:r>
    </w:p>
    <w:p w:rsidR="00793C63" w:rsidRDefault="00793C63" w:rsidP="003F661F">
      <w:pPr>
        <w:rPr>
          <w:i/>
        </w:rPr>
      </w:pPr>
    </w:p>
    <w:p w:rsidR="00793C63" w:rsidRDefault="00793C63" w:rsidP="003F661F">
      <w:pPr>
        <w:rPr>
          <w:b/>
        </w:rPr>
      </w:pPr>
      <w:r>
        <w:rPr>
          <w:b/>
        </w:rPr>
        <w:t>Point Sources</w:t>
      </w:r>
    </w:p>
    <w:p w:rsidR="00793C63" w:rsidRDefault="00793C63" w:rsidP="003F661F">
      <w:pPr>
        <w:rPr>
          <w:b/>
        </w:rPr>
      </w:pPr>
      <w:r>
        <w:t>Following introductions around the conference call "table" the group immediately started with discussion of Slide 2: Point sources. The slide contained a table showing each State or Province along with number of wastewater facilities and industrial facilities, when the data was available.</w:t>
      </w:r>
      <w:r w:rsidR="007B39FB">
        <w:t xml:space="preserve"> Christine Tilburg stated that she has been unable to track down industrial data for New Brunswick. </w:t>
      </w:r>
      <w:r w:rsidR="007B39FB">
        <w:rPr>
          <w:b/>
          <w:i/>
          <w:color w:val="E36C0A" w:themeColor="accent6" w:themeShade="BF"/>
        </w:rPr>
        <w:t>(Action to be taken: Christine will send a reminder to Daniel Savard regarding this hole in the data and the individuals she initially contacted).</w:t>
      </w:r>
      <w:r w:rsidR="00720B5E">
        <w:t xml:space="preserve"> Marilyn </w:t>
      </w:r>
      <w:r w:rsidR="007B39FB">
        <w:t xml:space="preserve">ten Brink </w:t>
      </w:r>
      <w:r w:rsidR="00720B5E">
        <w:t xml:space="preserve">reminded the group that there have been discussions regarding how to include the metadata for this information. Christine stated that the information on the source of the data will be provided below any table or figure in the fact sheet. In addition, that information will be available through the Indicator Reporting Tool also. Marilyn had some concern about listing when the data was pulled and how frequently the source is updated. </w:t>
      </w:r>
      <w:r w:rsidR="00720B5E" w:rsidRPr="00720B5E">
        <w:rPr>
          <w:b/>
          <w:color w:val="E36C0A" w:themeColor="accent6" w:themeShade="BF"/>
        </w:rPr>
        <w:t>These two items need to be included in the metadata.</w:t>
      </w:r>
    </w:p>
    <w:p w:rsidR="00720B5E" w:rsidRDefault="00720B5E" w:rsidP="003F661F"/>
    <w:p w:rsidR="00720B5E" w:rsidRDefault="00720B5E" w:rsidP="003F661F">
      <w:pPr>
        <w:rPr>
          <w:b/>
        </w:rPr>
      </w:pPr>
      <w:r>
        <w:rPr>
          <w:b/>
        </w:rPr>
        <w:t xml:space="preserve">Coarse </w:t>
      </w:r>
      <w:r w:rsidR="007478FC">
        <w:rPr>
          <w:b/>
        </w:rPr>
        <w:t xml:space="preserve">- </w:t>
      </w:r>
      <w:r>
        <w:rPr>
          <w:b/>
        </w:rPr>
        <w:t>Population</w:t>
      </w:r>
    </w:p>
    <w:p w:rsidR="00720B5E" w:rsidRDefault="00720B5E" w:rsidP="003F661F">
      <w:r>
        <w:t xml:space="preserve">Christine reminded the group as to the history of the coarse population indicator data. Fine scale population information (at the census track level (US) or subgroup level (CA) is not available except for recent census years. The group had agreed to present full county data (for counties that are either fully or partially within the Gulf of Maine watershed) from 1900s </w:t>
      </w:r>
      <w:r w:rsidR="00672587">
        <w:t>to present (if available)</w:t>
      </w:r>
      <w:r>
        <w:t xml:space="preserve">. Becca Newhall stated that it isn't immediately obvious what counties are included in this definition and it was agreed to list out each county.  </w:t>
      </w:r>
      <w:r>
        <w:rPr>
          <w:b/>
          <w:i/>
          <w:color w:val="E36C0A" w:themeColor="accent6" w:themeShade="BF"/>
        </w:rPr>
        <w:t>(Action to be taken: Counties to be included in figure descriptions).</w:t>
      </w:r>
      <w:r w:rsidR="00EE58F4">
        <w:t xml:space="preserve"> Marilyn stated that it is</w:t>
      </w:r>
      <w:r>
        <w:t xml:space="preserve"> important for the subcommittee to articulate the questions that the indicator is supposed to be addressing.</w:t>
      </w:r>
    </w:p>
    <w:p w:rsidR="00B843E7" w:rsidRDefault="00B843E7" w:rsidP="003F661F"/>
    <w:p w:rsidR="00B843E7" w:rsidRDefault="00B843E7" w:rsidP="003F661F">
      <w:r>
        <w:t>Christine walked the group through Slides 3-6. Becca stated she found Slide 5 (Percent change by decade) to be slightly confusing. She thought that presenting the data as bar graphs might be more effective. She found the information interesting (NH's surge in population). She also mentioned that it is important to minimize the number of tables as most people don't understand tables. Marilyn stated that she does not Slide 6 as it's difficult to see shifts up and down because of the log scale. Daniel agreed.</w:t>
      </w:r>
    </w:p>
    <w:p w:rsidR="00B843E7" w:rsidRDefault="00B843E7" w:rsidP="003F661F"/>
    <w:p w:rsidR="00B843E7" w:rsidRDefault="00B843E7" w:rsidP="003F661F">
      <w:r>
        <w:lastRenderedPageBreak/>
        <w:t>Daniel stated that he found the percent change slide (Slide 5) to be interesting as it shows sustained growth and has implications in terms of infrastructure, etcetera for New Brunswick. Becca wondered if each decade could be shown in a similar fashion to Slide 10. That would illustrate how much populati</w:t>
      </w:r>
      <w:r w:rsidR="00672587">
        <w:t>on is increasing and also allow</w:t>
      </w:r>
      <w:r>
        <w:t xml:space="preserve"> the reader to more easily separate states and provinces. This would possibly lead to five separate small figures. Daniel stated that the problem is that the values for the Provinces are so small.</w:t>
      </w:r>
    </w:p>
    <w:p w:rsidR="007478FC" w:rsidRDefault="007478FC" w:rsidP="003F661F"/>
    <w:p w:rsidR="0029273C" w:rsidRDefault="00B843E7" w:rsidP="003F661F">
      <w:r>
        <w:t xml:space="preserve">Justin Huston stated that it would be best to show a figure for total population changes and one showing percent changes. Perhaps this could be covered with text below graphs showing percent changes by decade (similar to Slide 11). Daniel wondered if a pie graph would be more useful. </w:t>
      </w:r>
    </w:p>
    <w:p w:rsidR="0029273C" w:rsidRDefault="0029273C" w:rsidP="003F661F"/>
    <w:p w:rsidR="0029273C" w:rsidRDefault="0029273C" w:rsidP="003F661F">
      <w:r>
        <w:t>Marilyn stated that these kinds of figures also help underscore the fact that regulatory changes in Massachusetts will have greater impact on the coast than other States or Provinces that have fewer individuals. Becca agreed that in terms of coastline Maine has the greatest but Massachusetts' population effects have a greater impact when regulations are changed. Daniel stated that this was a good point. Marilyn wondered if a table such as the one below might be best</w:t>
      </w:r>
      <w:r w:rsidR="007478FC">
        <w:t xml:space="preserve"> (especially if combined with a pie chart?) (see below).</w:t>
      </w:r>
    </w:p>
    <w:p w:rsidR="007478FC" w:rsidRDefault="007478FC" w:rsidP="003F661F"/>
    <w:p w:rsidR="007478FC" w:rsidRDefault="007478FC" w:rsidP="007478FC">
      <w:r>
        <w:t xml:space="preserve">Becca felt that it was important to show how total population has changed by decade. She wondered if a pie chart or other chart could be included in a column. </w:t>
      </w:r>
    </w:p>
    <w:p w:rsidR="007478FC" w:rsidRDefault="007478FC" w:rsidP="007478FC"/>
    <w:p w:rsidR="007478FC" w:rsidRDefault="007478FC" w:rsidP="007478FC">
      <w:pPr>
        <w:rPr>
          <w:b/>
          <w:i/>
          <w:color w:val="E36C0A" w:themeColor="accent6" w:themeShade="BF"/>
        </w:rPr>
      </w:pPr>
      <w:r>
        <w:t xml:space="preserve">Marilyn stated that it might be more efficient/helpful to hammer out what questions should be answered with the indicators in an e-mail discussion. Then the figures could be revised/fine-tuned based on the discussion. Daniel liked this idea and stated that a webinar might be helpful too. </w:t>
      </w:r>
      <w:r>
        <w:rPr>
          <w:b/>
          <w:i/>
          <w:color w:val="E36C0A" w:themeColor="accent6" w:themeShade="BF"/>
        </w:rPr>
        <w:t>(Action to be taken: Christine will start the e-mail discussion once these notes are sent out. Once the questions have been discussed a conference call (or webinar) will be scheduled for December or January).</w:t>
      </w:r>
    </w:p>
    <w:p w:rsidR="007478FC" w:rsidRDefault="007478FC">
      <w:r>
        <w:br w:type="page"/>
      </w:r>
    </w:p>
    <w:p w:rsidR="007478FC" w:rsidRPr="00720B5E" w:rsidRDefault="007478FC" w:rsidP="007478FC"/>
    <w:p w:rsidR="007478FC" w:rsidRPr="00222AE3" w:rsidRDefault="007478FC" w:rsidP="007478FC"/>
    <w:p w:rsidR="008235C1" w:rsidRDefault="007478FC">
      <w:r>
        <w:tab/>
      </w:r>
      <w:r w:rsidRPr="007478FC">
        <w:rPr>
          <w:noProof/>
        </w:rPr>
        <w:drawing>
          <wp:inline distT="0" distB="0" distL="0" distR="0">
            <wp:extent cx="4191000" cy="2472111"/>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195606" cy="2474828"/>
                    </a:xfrm>
                    <a:prstGeom prst="rect">
                      <a:avLst/>
                    </a:prstGeom>
                    <a:noFill/>
                  </pic:spPr>
                </pic:pic>
              </a:graphicData>
            </a:graphic>
          </wp:inline>
        </w:drawing>
      </w:r>
    </w:p>
    <w:p w:rsidR="0029273C" w:rsidRDefault="0029273C" w:rsidP="003F661F"/>
    <w:tbl>
      <w:tblPr>
        <w:tblStyle w:val="TableGrid"/>
        <w:tblW w:w="0" w:type="auto"/>
        <w:tblLook w:val="04A0"/>
      </w:tblPr>
      <w:tblGrid>
        <w:gridCol w:w="1771"/>
        <w:gridCol w:w="1771"/>
        <w:gridCol w:w="1771"/>
        <w:gridCol w:w="1771"/>
        <w:gridCol w:w="1772"/>
      </w:tblGrid>
      <w:tr w:rsidR="002E18E1" w:rsidTr="0029273C">
        <w:tc>
          <w:tcPr>
            <w:tcW w:w="1771" w:type="dxa"/>
          </w:tcPr>
          <w:p w:rsidR="0029273C" w:rsidRPr="007478FC" w:rsidRDefault="0029273C" w:rsidP="002E18E1">
            <w:pPr>
              <w:jc w:val="center"/>
              <w:rPr>
                <w:b/>
                <w:sz w:val="18"/>
                <w:szCs w:val="18"/>
              </w:rPr>
            </w:pPr>
            <w:r w:rsidRPr="007478FC">
              <w:rPr>
                <w:b/>
                <w:sz w:val="18"/>
                <w:szCs w:val="18"/>
              </w:rPr>
              <w:t>State/Province</w:t>
            </w:r>
            <w:r w:rsidR="008235C1" w:rsidRPr="007478FC">
              <w:rPr>
                <w:b/>
                <w:sz w:val="18"/>
                <w:szCs w:val="18"/>
              </w:rPr>
              <w:t xml:space="preserve"> </w:t>
            </w:r>
          </w:p>
        </w:tc>
        <w:tc>
          <w:tcPr>
            <w:tcW w:w="1771" w:type="dxa"/>
          </w:tcPr>
          <w:p w:rsidR="0029273C" w:rsidRPr="007478FC" w:rsidRDefault="0029273C" w:rsidP="0029273C">
            <w:pPr>
              <w:jc w:val="center"/>
              <w:rPr>
                <w:b/>
                <w:sz w:val="18"/>
                <w:szCs w:val="18"/>
              </w:rPr>
            </w:pPr>
            <w:r w:rsidRPr="007478FC">
              <w:rPr>
                <w:b/>
                <w:sz w:val="18"/>
                <w:szCs w:val="18"/>
              </w:rPr>
              <w:t>Population (year)</w:t>
            </w:r>
          </w:p>
        </w:tc>
        <w:tc>
          <w:tcPr>
            <w:tcW w:w="1771" w:type="dxa"/>
          </w:tcPr>
          <w:p w:rsidR="0029273C" w:rsidRPr="007478FC" w:rsidRDefault="0029273C" w:rsidP="0029273C">
            <w:pPr>
              <w:jc w:val="center"/>
              <w:rPr>
                <w:b/>
                <w:sz w:val="18"/>
                <w:szCs w:val="18"/>
              </w:rPr>
            </w:pPr>
            <w:r w:rsidRPr="007478FC">
              <w:rPr>
                <w:b/>
                <w:sz w:val="18"/>
                <w:szCs w:val="18"/>
              </w:rPr>
              <w:t>Length of Coast</w:t>
            </w:r>
          </w:p>
        </w:tc>
        <w:tc>
          <w:tcPr>
            <w:tcW w:w="1771" w:type="dxa"/>
          </w:tcPr>
          <w:p w:rsidR="0029273C" w:rsidRPr="007478FC" w:rsidRDefault="0029273C" w:rsidP="00AF3FBF">
            <w:pPr>
              <w:jc w:val="center"/>
              <w:rPr>
                <w:b/>
                <w:sz w:val="18"/>
                <w:szCs w:val="18"/>
              </w:rPr>
            </w:pPr>
            <w:r w:rsidRPr="007478FC">
              <w:rPr>
                <w:b/>
                <w:sz w:val="18"/>
                <w:szCs w:val="18"/>
              </w:rPr>
              <w:t>Amount of landmass</w:t>
            </w:r>
            <w:r w:rsidR="00AF3FBF" w:rsidRPr="007478FC">
              <w:rPr>
                <w:b/>
                <w:sz w:val="18"/>
                <w:szCs w:val="18"/>
              </w:rPr>
              <w:t xml:space="preserve"> </w:t>
            </w:r>
          </w:p>
        </w:tc>
        <w:tc>
          <w:tcPr>
            <w:tcW w:w="1772" w:type="dxa"/>
          </w:tcPr>
          <w:p w:rsidR="0029273C" w:rsidRPr="007478FC" w:rsidRDefault="0029273C" w:rsidP="009A41C3">
            <w:pPr>
              <w:jc w:val="center"/>
              <w:rPr>
                <w:b/>
                <w:sz w:val="18"/>
                <w:szCs w:val="18"/>
              </w:rPr>
            </w:pPr>
            <w:r w:rsidRPr="007478FC">
              <w:rPr>
                <w:b/>
                <w:sz w:val="18"/>
                <w:szCs w:val="18"/>
              </w:rPr>
              <w:t xml:space="preserve">Percent change over </w:t>
            </w:r>
            <w:r w:rsidR="00AF3FBF" w:rsidRPr="007478FC">
              <w:rPr>
                <w:b/>
                <w:sz w:val="18"/>
                <w:szCs w:val="18"/>
              </w:rPr>
              <w:t>19</w:t>
            </w:r>
            <w:r w:rsidR="009A41C3" w:rsidRPr="007478FC">
              <w:rPr>
                <w:b/>
                <w:sz w:val="18"/>
                <w:szCs w:val="18"/>
              </w:rPr>
              <w:t>8</w:t>
            </w:r>
            <w:r w:rsidR="00AF3FBF" w:rsidRPr="007478FC">
              <w:rPr>
                <w:b/>
                <w:sz w:val="18"/>
                <w:szCs w:val="18"/>
              </w:rPr>
              <w:t>0-2000</w:t>
            </w:r>
          </w:p>
        </w:tc>
      </w:tr>
      <w:tr w:rsidR="008235C1" w:rsidTr="0029273C">
        <w:tc>
          <w:tcPr>
            <w:tcW w:w="1771" w:type="dxa"/>
          </w:tcPr>
          <w:p w:rsidR="002E18E1" w:rsidRPr="007478FC" w:rsidRDefault="002E18E1" w:rsidP="0029273C">
            <w:pPr>
              <w:jc w:val="center"/>
              <w:rPr>
                <w:b/>
                <w:color w:val="365F91" w:themeColor="accent1" w:themeShade="BF"/>
                <w:sz w:val="18"/>
                <w:szCs w:val="18"/>
              </w:rPr>
            </w:pPr>
          </w:p>
          <w:p w:rsidR="008235C1" w:rsidRPr="007478FC" w:rsidRDefault="008235C1" w:rsidP="0029273C">
            <w:pPr>
              <w:jc w:val="center"/>
              <w:rPr>
                <w:b/>
                <w:color w:val="365F91" w:themeColor="accent1" w:themeShade="BF"/>
                <w:sz w:val="18"/>
                <w:szCs w:val="18"/>
              </w:rPr>
            </w:pPr>
            <w:r w:rsidRPr="007478FC">
              <w:rPr>
                <w:b/>
                <w:color w:val="365F91" w:themeColor="accent1" w:themeShade="BF"/>
                <w:sz w:val="18"/>
                <w:szCs w:val="18"/>
              </w:rPr>
              <w:t>Massachusetts</w:t>
            </w:r>
          </w:p>
          <w:p w:rsidR="0065193D" w:rsidRPr="007478FC" w:rsidRDefault="0065193D" w:rsidP="0029273C">
            <w:pPr>
              <w:jc w:val="center"/>
              <w:rPr>
                <w:b/>
                <w:color w:val="365F91" w:themeColor="accent1" w:themeShade="BF"/>
                <w:sz w:val="18"/>
                <w:szCs w:val="18"/>
              </w:rPr>
            </w:pPr>
          </w:p>
        </w:tc>
        <w:tc>
          <w:tcPr>
            <w:tcW w:w="1771" w:type="dxa"/>
          </w:tcPr>
          <w:p w:rsidR="008235C1" w:rsidRPr="007478FC" w:rsidRDefault="008235C1" w:rsidP="0029273C">
            <w:pPr>
              <w:jc w:val="center"/>
              <w:rPr>
                <w:b/>
                <w:color w:val="365F91" w:themeColor="accent1" w:themeShade="BF"/>
                <w:sz w:val="18"/>
                <w:szCs w:val="18"/>
              </w:rPr>
            </w:pPr>
          </w:p>
          <w:p w:rsidR="008235C1" w:rsidRPr="007478FC" w:rsidRDefault="008235C1" w:rsidP="009A41C3">
            <w:pPr>
              <w:jc w:val="center"/>
              <w:rPr>
                <w:b/>
                <w:color w:val="365F91" w:themeColor="accent1" w:themeShade="BF"/>
                <w:sz w:val="18"/>
                <w:szCs w:val="18"/>
              </w:rPr>
            </w:pPr>
            <w:r w:rsidRPr="007478FC">
              <w:rPr>
                <w:b/>
                <w:color w:val="365F91" w:themeColor="accent1" w:themeShade="BF"/>
                <w:sz w:val="18"/>
                <w:szCs w:val="18"/>
              </w:rPr>
              <w:t>4974945</w:t>
            </w:r>
            <w:r w:rsidR="00AF3FBF" w:rsidRPr="007478FC">
              <w:rPr>
                <w:b/>
                <w:color w:val="365F91" w:themeColor="accent1" w:themeShade="BF"/>
                <w:sz w:val="18"/>
                <w:szCs w:val="18"/>
              </w:rPr>
              <w:t xml:space="preserve"> (200</w:t>
            </w:r>
            <w:r w:rsidR="009A41C3" w:rsidRPr="007478FC">
              <w:rPr>
                <w:b/>
                <w:color w:val="365F91" w:themeColor="accent1" w:themeShade="BF"/>
                <w:sz w:val="18"/>
                <w:szCs w:val="18"/>
              </w:rPr>
              <w:t>0</w:t>
            </w:r>
            <w:r w:rsidR="00AF3FBF" w:rsidRPr="007478FC">
              <w:rPr>
                <w:b/>
                <w:color w:val="365F91" w:themeColor="accent1" w:themeShade="BF"/>
                <w:sz w:val="18"/>
                <w:szCs w:val="18"/>
              </w:rPr>
              <w:t>)</w:t>
            </w:r>
          </w:p>
        </w:tc>
        <w:tc>
          <w:tcPr>
            <w:tcW w:w="1771" w:type="dxa"/>
          </w:tcPr>
          <w:p w:rsidR="00AF3FBF" w:rsidRPr="007478FC" w:rsidRDefault="00AF3FBF" w:rsidP="0029273C">
            <w:pPr>
              <w:jc w:val="center"/>
              <w:rPr>
                <w:b/>
                <w:color w:val="365F91" w:themeColor="accent1" w:themeShade="BF"/>
                <w:sz w:val="18"/>
                <w:szCs w:val="18"/>
              </w:rPr>
            </w:pPr>
          </w:p>
          <w:p w:rsidR="00AF3FBF" w:rsidRPr="007478FC" w:rsidRDefault="00AF3FBF" w:rsidP="0029273C">
            <w:pPr>
              <w:jc w:val="center"/>
              <w:rPr>
                <w:b/>
                <w:color w:val="365F91" w:themeColor="accent1" w:themeShade="BF"/>
                <w:sz w:val="18"/>
                <w:szCs w:val="18"/>
              </w:rPr>
            </w:pPr>
            <w:r w:rsidRPr="007478FC">
              <w:rPr>
                <w:b/>
                <w:color w:val="365F91" w:themeColor="accent1" w:themeShade="BF"/>
                <w:sz w:val="18"/>
                <w:szCs w:val="18"/>
              </w:rPr>
              <w:t>?</w:t>
            </w:r>
          </w:p>
        </w:tc>
        <w:tc>
          <w:tcPr>
            <w:tcW w:w="1771" w:type="dxa"/>
          </w:tcPr>
          <w:p w:rsidR="00AF3FBF" w:rsidRPr="007478FC" w:rsidRDefault="00AF3FBF" w:rsidP="0029273C">
            <w:pPr>
              <w:jc w:val="center"/>
              <w:rPr>
                <w:b/>
                <w:color w:val="365F91" w:themeColor="accent1" w:themeShade="BF"/>
                <w:sz w:val="18"/>
                <w:szCs w:val="18"/>
              </w:rPr>
            </w:pPr>
          </w:p>
          <w:p w:rsidR="00AF3FBF" w:rsidRPr="007478FC" w:rsidRDefault="00AF3FBF" w:rsidP="0029273C">
            <w:pPr>
              <w:jc w:val="center"/>
              <w:rPr>
                <w:b/>
                <w:color w:val="365F91" w:themeColor="accent1" w:themeShade="BF"/>
                <w:sz w:val="18"/>
                <w:szCs w:val="18"/>
              </w:rPr>
            </w:pPr>
            <w:r w:rsidRPr="007478FC">
              <w:rPr>
                <w:b/>
                <w:color w:val="365F91" w:themeColor="accent1" w:themeShade="BF"/>
                <w:sz w:val="18"/>
                <w:szCs w:val="18"/>
              </w:rPr>
              <w:t>11606 km</w:t>
            </w:r>
            <w:r w:rsidRPr="007478FC">
              <w:rPr>
                <w:b/>
                <w:color w:val="365F91" w:themeColor="accent1" w:themeShade="BF"/>
                <w:sz w:val="18"/>
                <w:szCs w:val="18"/>
                <w:vertAlign w:val="superscript"/>
              </w:rPr>
              <w:t>2</w:t>
            </w:r>
          </w:p>
        </w:tc>
        <w:tc>
          <w:tcPr>
            <w:tcW w:w="1772" w:type="dxa"/>
          </w:tcPr>
          <w:p w:rsidR="00AF3FBF" w:rsidRPr="007478FC" w:rsidRDefault="00AF3FBF" w:rsidP="0029273C">
            <w:pPr>
              <w:jc w:val="center"/>
              <w:rPr>
                <w:b/>
                <w:color w:val="365F91" w:themeColor="accent1" w:themeShade="BF"/>
                <w:sz w:val="18"/>
                <w:szCs w:val="18"/>
              </w:rPr>
            </w:pPr>
          </w:p>
          <w:p w:rsidR="00AF3FBF" w:rsidRPr="007478FC" w:rsidRDefault="009A41C3" w:rsidP="0029273C">
            <w:pPr>
              <w:jc w:val="center"/>
              <w:rPr>
                <w:b/>
                <w:color w:val="365F91" w:themeColor="accent1" w:themeShade="BF"/>
                <w:sz w:val="18"/>
                <w:szCs w:val="18"/>
              </w:rPr>
            </w:pPr>
            <w:r w:rsidRPr="007478FC">
              <w:rPr>
                <w:b/>
                <w:color w:val="365F91" w:themeColor="accent1" w:themeShade="BF"/>
                <w:sz w:val="18"/>
                <w:szCs w:val="18"/>
              </w:rPr>
              <w:t>11.62</w:t>
            </w:r>
            <w:r w:rsidR="00AF3FBF" w:rsidRPr="007478FC">
              <w:rPr>
                <w:b/>
                <w:color w:val="365F91" w:themeColor="accent1" w:themeShade="BF"/>
                <w:sz w:val="18"/>
                <w:szCs w:val="18"/>
              </w:rPr>
              <w:t>%</w:t>
            </w:r>
          </w:p>
        </w:tc>
      </w:tr>
      <w:tr w:rsidR="008235C1" w:rsidTr="0029273C">
        <w:tc>
          <w:tcPr>
            <w:tcW w:w="1771" w:type="dxa"/>
          </w:tcPr>
          <w:p w:rsidR="0065193D" w:rsidRPr="007478FC" w:rsidRDefault="0065193D" w:rsidP="0029273C">
            <w:pPr>
              <w:jc w:val="center"/>
              <w:rPr>
                <w:b/>
                <w:color w:val="C00000"/>
                <w:sz w:val="18"/>
                <w:szCs w:val="18"/>
              </w:rPr>
            </w:pPr>
          </w:p>
          <w:p w:rsidR="008235C1" w:rsidRPr="007478FC" w:rsidRDefault="002B48AD" w:rsidP="0029273C">
            <w:pPr>
              <w:jc w:val="center"/>
              <w:rPr>
                <w:b/>
                <w:color w:val="C00000"/>
                <w:sz w:val="18"/>
                <w:szCs w:val="18"/>
              </w:rPr>
            </w:pPr>
            <w:r w:rsidRPr="007478FC">
              <w:rPr>
                <w:b/>
                <w:color w:val="C00000"/>
                <w:sz w:val="18"/>
                <w:szCs w:val="18"/>
              </w:rPr>
              <w:t>New Hampshi</w:t>
            </w:r>
            <w:r w:rsidR="009A41C3" w:rsidRPr="007478FC">
              <w:rPr>
                <w:b/>
                <w:color w:val="C00000"/>
                <w:sz w:val="18"/>
                <w:szCs w:val="18"/>
              </w:rPr>
              <w:t>re</w:t>
            </w:r>
          </w:p>
          <w:p w:rsidR="002E18E1" w:rsidRPr="007478FC" w:rsidRDefault="002E18E1" w:rsidP="0029273C">
            <w:pPr>
              <w:jc w:val="center"/>
              <w:rPr>
                <w:b/>
                <w:color w:val="C00000"/>
                <w:sz w:val="18"/>
                <w:szCs w:val="18"/>
              </w:rPr>
            </w:pPr>
          </w:p>
        </w:tc>
        <w:tc>
          <w:tcPr>
            <w:tcW w:w="1771" w:type="dxa"/>
          </w:tcPr>
          <w:p w:rsidR="0065193D" w:rsidRPr="007478FC" w:rsidRDefault="0065193D" w:rsidP="0029273C">
            <w:pPr>
              <w:jc w:val="center"/>
              <w:rPr>
                <w:b/>
                <w:color w:val="C00000"/>
                <w:sz w:val="18"/>
                <w:szCs w:val="18"/>
              </w:rPr>
            </w:pPr>
          </w:p>
          <w:p w:rsidR="008235C1" w:rsidRPr="007478FC" w:rsidRDefault="009A41C3" w:rsidP="0029273C">
            <w:pPr>
              <w:jc w:val="center"/>
              <w:rPr>
                <w:b/>
                <w:color w:val="C00000"/>
                <w:sz w:val="18"/>
                <w:szCs w:val="18"/>
              </w:rPr>
            </w:pPr>
            <w:r w:rsidRPr="007478FC">
              <w:rPr>
                <w:b/>
                <w:color w:val="C00000"/>
                <w:sz w:val="18"/>
                <w:szCs w:val="18"/>
              </w:rPr>
              <w:t>1235786 (2000)</w:t>
            </w:r>
          </w:p>
        </w:tc>
        <w:tc>
          <w:tcPr>
            <w:tcW w:w="1771" w:type="dxa"/>
          </w:tcPr>
          <w:p w:rsidR="0065193D" w:rsidRPr="007478FC" w:rsidRDefault="0065193D" w:rsidP="0029273C">
            <w:pPr>
              <w:jc w:val="center"/>
              <w:rPr>
                <w:b/>
                <w:color w:val="C00000"/>
                <w:sz w:val="18"/>
                <w:szCs w:val="18"/>
              </w:rPr>
            </w:pPr>
          </w:p>
          <w:p w:rsidR="008235C1" w:rsidRPr="007478FC" w:rsidRDefault="009A41C3" w:rsidP="0029273C">
            <w:pPr>
              <w:jc w:val="center"/>
              <w:rPr>
                <w:b/>
                <w:color w:val="C00000"/>
                <w:sz w:val="18"/>
                <w:szCs w:val="18"/>
              </w:rPr>
            </w:pPr>
            <w:r w:rsidRPr="007478FC">
              <w:rPr>
                <w:b/>
                <w:color w:val="C00000"/>
                <w:sz w:val="18"/>
                <w:szCs w:val="18"/>
              </w:rPr>
              <w:t>?</w:t>
            </w:r>
          </w:p>
        </w:tc>
        <w:tc>
          <w:tcPr>
            <w:tcW w:w="1771" w:type="dxa"/>
          </w:tcPr>
          <w:p w:rsidR="0065193D" w:rsidRPr="007478FC" w:rsidRDefault="0065193D" w:rsidP="0029273C">
            <w:pPr>
              <w:jc w:val="center"/>
              <w:rPr>
                <w:b/>
                <w:color w:val="C00000"/>
                <w:sz w:val="18"/>
                <w:szCs w:val="18"/>
              </w:rPr>
            </w:pPr>
          </w:p>
          <w:p w:rsidR="008235C1" w:rsidRPr="007478FC" w:rsidRDefault="009A41C3" w:rsidP="0029273C">
            <w:pPr>
              <w:jc w:val="center"/>
              <w:rPr>
                <w:b/>
                <w:color w:val="C00000"/>
                <w:sz w:val="18"/>
                <w:szCs w:val="18"/>
              </w:rPr>
            </w:pPr>
            <w:r w:rsidRPr="007478FC">
              <w:rPr>
                <w:b/>
                <w:color w:val="C00000"/>
                <w:sz w:val="18"/>
                <w:szCs w:val="18"/>
              </w:rPr>
              <w:t>66682 km</w:t>
            </w:r>
            <w:r w:rsidRPr="007478FC">
              <w:rPr>
                <w:b/>
                <w:color w:val="C00000"/>
                <w:sz w:val="18"/>
                <w:szCs w:val="18"/>
                <w:vertAlign w:val="superscript"/>
              </w:rPr>
              <w:t>2</w:t>
            </w:r>
          </w:p>
        </w:tc>
        <w:tc>
          <w:tcPr>
            <w:tcW w:w="1772" w:type="dxa"/>
          </w:tcPr>
          <w:p w:rsidR="0065193D" w:rsidRPr="007478FC" w:rsidRDefault="0065193D" w:rsidP="0029273C">
            <w:pPr>
              <w:jc w:val="center"/>
              <w:rPr>
                <w:b/>
                <w:color w:val="C00000"/>
                <w:sz w:val="18"/>
                <w:szCs w:val="18"/>
              </w:rPr>
            </w:pPr>
          </w:p>
          <w:p w:rsidR="008235C1" w:rsidRPr="007478FC" w:rsidRDefault="009A41C3" w:rsidP="0029273C">
            <w:pPr>
              <w:jc w:val="center"/>
              <w:rPr>
                <w:b/>
                <w:color w:val="C00000"/>
                <w:sz w:val="18"/>
                <w:szCs w:val="18"/>
              </w:rPr>
            </w:pPr>
            <w:r w:rsidRPr="007478FC">
              <w:rPr>
                <w:b/>
                <w:color w:val="C00000"/>
                <w:sz w:val="18"/>
                <w:szCs w:val="18"/>
              </w:rPr>
              <w:t>34.24%</w:t>
            </w:r>
          </w:p>
        </w:tc>
      </w:tr>
      <w:tr w:rsidR="009A41C3" w:rsidTr="0029273C">
        <w:tc>
          <w:tcPr>
            <w:tcW w:w="1771" w:type="dxa"/>
          </w:tcPr>
          <w:p w:rsidR="0065193D" w:rsidRPr="007478FC" w:rsidRDefault="0065193D" w:rsidP="0029273C">
            <w:pPr>
              <w:jc w:val="center"/>
              <w:rPr>
                <w:b/>
                <w:color w:val="E36C0A" w:themeColor="accent6" w:themeShade="BF"/>
                <w:sz w:val="18"/>
                <w:szCs w:val="18"/>
              </w:rPr>
            </w:pPr>
          </w:p>
          <w:p w:rsidR="009A41C3" w:rsidRPr="007478FC" w:rsidRDefault="009A41C3" w:rsidP="0029273C">
            <w:pPr>
              <w:jc w:val="center"/>
              <w:rPr>
                <w:b/>
                <w:color w:val="E36C0A" w:themeColor="accent6" w:themeShade="BF"/>
                <w:sz w:val="18"/>
                <w:szCs w:val="18"/>
              </w:rPr>
            </w:pPr>
            <w:r w:rsidRPr="007478FC">
              <w:rPr>
                <w:b/>
                <w:color w:val="E36C0A" w:themeColor="accent6" w:themeShade="BF"/>
                <w:sz w:val="18"/>
                <w:szCs w:val="18"/>
              </w:rPr>
              <w:t>Maine</w:t>
            </w:r>
          </w:p>
          <w:p w:rsidR="002E18E1" w:rsidRPr="007478FC" w:rsidRDefault="002E18E1" w:rsidP="0029273C">
            <w:pPr>
              <w:jc w:val="center"/>
              <w:rPr>
                <w:b/>
                <w:color w:val="E36C0A" w:themeColor="accent6" w:themeShade="BF"/>
                <w:sz w:val="18"/>
                <w:szCs w:val="18"/>
              </w:rPr>
            </w:pPr>
          </w:p>
        </w:tc>
        <w:tc>
          <w:tcPr>
            <w:tcW w:w="1771" w:type="dxa"/>
          </w:tcPr>
          <w:p w:rsidR="0065193D" w:rsidRPr="007478FC" w:rsidRDefault="0065193D" w:rsidP="0029273C">
            <w:pPr>
              <w:jc w:val="center"/>
              <w:rPr>
                <w:b/>
                <w:color w:val="E36C0A" w:themeColor="accent6" w:themeShade="BF"/>
                <w:sz w:val="18"/>
                <w:szCs w:val="18"/>
              </w:rPr>
            </w:pPr>
          </w:p>
          <w:p w:rsidR="009A41C3" w:rsidRPr="007478FC" w:rsidRDefault="009A41C3" w:rsidP="0029273C">
            <w:pPr>
              <w:jc w:val="center"/>
              <w:rPr>
                <w:b/>
                <w:color w:val="E36C0A" w:themeColor="accent6" w:themeShade="BF"/>
                <w:sz w:val="18"/>
                <w:szCs w:val="18"/>
              </w:rPr>
            </w:pPr>
            <w:r w:rsidRPr="007478FC">
              <w:rPr>
                <w:b/>
                <w:color w:val="E36C0A" w:themeColor="accent6" w:themeShade="BF"/>
                <w:sz w:val="18"/>
                <w:szCs w:val="18"/>
              </w:rPr>
              <w:t>1274922 (2000)</w:t>
            </w:r>
          </w:p>
        </w:tc>
        <w:tc>
          <w:tcPr>
            <w:tcW w:w="1771" w:type="dxa"/>
          </w:tcPr>
          <w:p w:rsidR="0065193D" w:rsidRPr="007478FC" w:rsidRDefault="0065193D" w:rsidP="0029273C">
            <w:pPr>
              <w:jc w:val="center"/>
              <w:rPr>
                <w:b/>
                <w:color w:val="E36C0A" w:themeColor="accent6" w:themeShade="BF"/>
                <w:sz w:val="18"/>
                <w:szCs w:val="18"/>
              </w:rPr>
            </w:pPr>
          </w:p>
          <w:p w:rsidR="009A41C3" w:rsidRPr="007478FC" w:rsidRDefault="009A41C3" w:rsidP="0029273C">
            <w:pPr>
              <w:jc w:val="center"/>
              <w:rPr>
                <w:b/>
                <w:color w:val="E36C0A" w:themeColor="accent6" w:themeShade="BF"/>
                <w:sz w:val="18"/>
                <w:szCs w:val="18"/>
              </w:rPr>
            </w:pPr>
            <w:r w:rsidRPr="007478FC">
              <w:rPr>
                <w:b/>
                <w:color w:val="E36C0A" w:themeColor="accent6" w:themeShade="BF"/>
                <w:sz w:val="18"/>
                <w:szCs w:val="18"/>
              </w:rPr>
              <w:t>?</w:t>
            </w:r>
          </w:p>
        </w:tc>
        <w:tc>
          <w:tcPr>
            <w:tcW w:w="1771" w:type="dxa"/>
          </w:tcPr>
          <w:p w:rsidR="0065193D" w:rsidRPr="007478FC" w:rsidRDefault="0065193D" w:rsidP="0029273C">
            <w:pPr>
              <w:jc w:val="center"/>
              <w:rPr>
                <w:b/>
                <w:color w:val="E36C0A" w:themeColor="accent6" w:themeShade="BF"/>
                <w:sz w:val="18"/>
                <w:szCs w:val="18"/>
              </w:rPr>
            </w:pPr>
          </w:p>
          <w:p w:rsidR="009A41C3" w:rsidRPr="007478FC" w:rsidRDefault="009A41C3" w:rsidP="0029273C">
            <w:pPr>
              <w:jc w:val="center"/>
              <w:rPr>
                <w:b/>
                <w:color w:val="E36C0A" w:themeColor="accent6" w:themeShade="BF"/>
                <w:sz w:val="18"/>
                <w:szCs w:val="18"/>
              </w:rPr>
            </w:pPr>
            <w:r w:rsidRPr="007478FC">
              <w:rPr>
                <w:b/>
                <w:color w:val="E36C0A" w:themeColor="accent6" w:themeShade="BF"/>
                <w:sz w:val="18"/>
                <w:szCs w:val="18"/>
              </w:rPr>
              <w:t>83706 km</w:t>
            </w:r>
            <w:r w:rsidRPr="007478FC">
              <w:rPr>
                <w:b/>
                <w:color w:val="E36C0A" w:themeColor="accent6" w:themeShade="BF"/>
                <w:sz w:val="18"/>
                <w:szCs w:val="18"/>
                <w:vertAlign w:val="superscript"/>
              </w:rPr>
              <w:t>2</w:t>
            </w:r>
          </w:p>
        </w:tc>
        <w:tc>
          <w:tcPr>
            <w:tcW w:w="1772" w:type="dxa"/>
          </w:tcPr>
          <w:p w:rsidR="0065193D" w:rsidRPr="007478FC" w:rsidRDefault="0065193D" w:rsidP="0029273C">
            <w:pPr>
              <w:jc w:val="center"/>
              <w:rPr>
                <w:b/>
                <w:color w:val="E36C0A" w:themeColor="accent6" w:themeShade="BF"/>
                <w:sz w:val="18"/>
                <w:szCs w:val="18"/>
              </w:rPr>
            </w:pPr>
          </w:p>
          <w:p w:rsidR="009A41C3" w:rsidRPr="007478FC" w:rsidRDefault="009A41C3" w:rsidP="0029273C">
            <w:pPr>
              <w:jc w:val="center"/>
              <w:rPr>
                <w:b/>
                <w:color w:val="E36C0A" w:themeColor="accent6" w:themeShade="BF"/>
                <w:sz w:val="18"/>
                <w:szCs w:val="18"/>
              </w:rPr>
            </w:pPr>
            <w:r w:rsidRPr="007478FC">
              <w:rPr>
                <w:b/>
                <w:color w:val="E36C0A" w:themeColor="accent6" w:themeShade="BF"/>
                <w:sz w:val="18"/>
                <w:szCs w:val="18"/>
              </w:rPr>
              <w:t>13.36%</w:t>
            </w:r>
          </w:p>
        </w:tc>
      </w:tr>
      <w:tr w:rsidR="009A41C3" w:rsidTr="0029273C">
        <w:tc>
          <w:tcPr>
            <w:tcW w:w="1771" w:type="dxa"/>
          </w:tcPr>
          <w:p w:rsidR="0065193D" w:rsidRPr="007478FC" w:rsidRDefault="0065193D" w:rsidP="002E18E1">
            <w:pPr>
              <w:jc w:val="center"/>
              <w:rPr>
                <w:b/>
                <w:color w:val="5F497A" w:themeColor="accent4" w:themeShade="BF"/>
                <w:sz w:val="18"/>
                <w:szCs w:val="18"/>
              </w:rPr>
            </w:pPr>
          </w:p>
          <w:p w:rsidR="009A41C3" w:rsidRPr="007478FC" w:rsidRDefault="009A41C3" w:rsidP="002E18E1">
            <w:pPr>
              <w:jc w:val="center"/>
              <w:rPr>
                <w:b/>
                <w:color w:val="5F497A" w:themeColor="accent4" w:themeShade="BF"/>
                <w:sz w:val="18"/>
                <w:szCs w:val="18"/>
              </w:rPr>
            </w:pPr>
            <w:r w:rsidRPr="007478FC">
              <w:rPr>
                <w:b/>
                <w:color w:val="5F497A" w:themeColor="accent4" w:themeShade="BF"/>
                <w:sz w:val="18"/>
                <w:szCs w:val="18"/>
              </w:rPr>
              <w:t>New Brunswick</w:t>
            </w:r>
          </w:p>
          <w:p w:rsidR="002E18E1" w:rsidRPr="007478FC" w:rsidRDefault="002E18E1" w:rsidP="002E18E1">
            <w:pPr>
              <w:jc w:val="center"/>
              <w:rPr>
                <w:b/>
                <w:color w:val="5F497A" w:themeColor="accent4" w:themeShade="BF"/>
                <w:sz w:val="18"/>
                <w:szCs w:val="18"/>
              </w:rPr>
            </w:pPr>
          </w:p>
        </w:tc>
        <w:tc>
          <w:tcPr>
            <w:tcW w:w="1771" w:type="dxa"/>
          </w:tcPr>
          <w:p w:rsidR="0065193D" w:rsidRPr="007478FC" w:rsidRDefault="0065193D" w:rsidP="0029273C">
            <w:pPr>
              <w:jc w:val="center"/>
              <w:rPr>
                <w:b/>
                <w:color w:val="5F497A" w:themeColor="accent4" w:themeShade="BF"/>
                <w:sz w:val="18"/>
                <w:szCs w:val="18"/>
              </w:rPr>
            </w:pPr>
          </w:p>
          <w:p w:rsidR="009A41C3" w:rsidRPr="007478FC" w:rsidRDefault="009A41C3" w:rsidP="0029273C">
            <w:pPr>
              <w:jc w:val="center"/>
              <w:rPr>
                <w:b/>
                <w:color w:val="5F497A" w:themeColor="accent4" w:themeShade="BF"/>
                <w:sz w:val="18"/>
                <w:szCs w:val="18"/>
              </w:rPr>
            </w:pPr>
            <w:r w:rsidRPr="007478FC">
              <w:rPr>
                <w:b/>
                <w:color w:val="5F497A" w:themeColor="accent4" w:themeShade="BF"/>
                <w:sz w:val="18"/>
                <w:szCs w:val="18"/>
              </w:rPr>
              <w:t>651048 (2006)</w:t>
            </w:r>
          </w:p>
        </w:tc>
        <w:tc>
          <w:tcPr>
            <w:tcW w:w="1771" w:type="dxa"/>
          </w:tcPr>
          <w:p w:rsidR="0065193D" w:rsidRPr="007478FC" w:rsidRDefault="0065193D" w:rsidP="0029273C">
            <w:pPr>
              <w:jc w:val="center"/>
              <w:rPr>
                <w:b/>
                <w:color w:val="5F497A" w:themeColor="accent4" w:themeShade="BF"/>
                <w:sz w:val="18"/>
                <w:szCs w:val="18"/>
              </w:rPr>
            </w:pPr>
          </w:p>
          <w:p w:rsidR="009A41C3" w:rsidRPr="007478FC" w:rsidRDefault="009A41C3" w:rsidP="0029273C">
            <w:pPr>
              <w:jc w:val="center"/>
              <w:rPr>
                <w:b/>
                <w:color w:val="5F497A" w:themeColor="accent4" w:themeShade="BF"/>
                <w:sz w:val="18"/>
                <w:szCs w:val="18"/>
              </w:rPr>
            </w:pPr>
            <w:r w:rsidRPr="007478FC">
              <w:rPr>
                <w:b/>
                <w:color w:val="5F497A" w:themeColor="accent4" w:themeShade="BF"/>
                <w:sz w:val="18"/>
                <w:szCs w:val="18"/>
              </w:rPr>
              <w:t>?</w:t>
            </w:r>
          </w:p>
        </w:tc>
        <w:tc>
          <w:tcPr>
            <w:tcW w:w="1771" w:type="dxa"/>
          </w:tcPr>
          <w:p w:rsidR="0065193D" w:rsidRPr="007478FC" w:rsidRDefault="0065193D" w:rsidP="0029273C">
            <w:pPr>
              <w:jc w:val="center"/>
              <w:rPr>
                <w:b/>
                <w:color w:val="5F497A" w:themeColor="accent4" w:themeShade="BF"/>
                <w:sz w:val="18"/>
                <w:szCs w:val="18"/>
              </w:rPr>
            </w:pPr>
          </w:p>
          <w:p w:rsidR="009A41C3" w:rsidRPr="007478FC" w:rsidRDefault="009A41C3" w:rsidP="0029273C">
            <w:pPr>
              <w:jc w:val="center"/>
              <w:rPr>
                <w:b/>
                <w:color w:val="5F497A" w:themeColor="accent4" w:themeShade="BF"/>
                <w:sz w:val="18"/>
                <w:szCs w:val="18"/>
              </w:rPr>
            </w:pPr>
            <w:r w:rsidRPr="007478FC">
              <w:rPr>
                <w:b/>
                <w:color w:val="5F497A" w:themeColor="accent4" w:themeShade="BF"/>
                <w:sz w:val="18"/>
                <w:szCs w:val="18"/>
              </w:rPr>
              <w:t>66682 km</w:t>
            </w:r>
            <w:r w:rsidRPr="007478FC">
              <w:rPr>
                <w:b/>
                <w:color w:val="5F497A" w:themeColor="accent4" w:themeShade="BF"/>
                <w:sz w:val="18"/>
                <w:szCs w:val="18"/>
                <w:vertAlign w:val="superscript"/>
              </w:rPr>
              <w:t>2</w:t>
            </w:r>
          </w:p>
        </w:tc>
        <w:tc>
          <w:tcPr>
            <w:tcW w:w="1772" w:type="dxa"/>
          </w:tcPr>
          <w:p w:rsidR="0065193D" w:rsidRPr="007478FC" w:rsidRDefault="0065193D" w:rsidP="0029273C">
            <w:pPr>
              <w:jc w:val="center"/>
              <w:rPr>
                <w:b/>
                <w:color w:val="5F497A" w:themeColor="accent4" w:themeShade="BF"/>
                <w:sz w:val="18"/>
                <w:szCs w:val="18"/>
              </w:rPr>
            </w:pPr>
          </w:p>
          <w:p w:rsidR="009A41C3" w:rsidRPr="007478FC" w:rsidRDefault="009A41C3" w:rsidP="0029273C">
            <w:pPr>
              <w:jc w:val="center"/>
              <w:rPr>
                <w:b/>
                <w:color w:val="5F497A" w:themeColor="accent4" w:themeShade="BF"/>
                <w:sz w:val="18"/>
                <w:szCs w:val="18"/>
              </w:rPr>
            </w:pPr>
            <w:r w:rsidRPr="007478FC">
              <w:rPr>
                <w:b/>
                <w:color w:val="5F497A" w:themeColor="accent4" w:themeShade="BF"/>
                <w:sz w:val="18"/>
                <w:szCs w:val="18"/>
              </w:rPr>
              <w:t>7.59%</w:t>
            </w:r>
          </w:p>
        </w:tc>
      </w:tr>
      <w:tr w:rsidR="009A41C3" w:rsidTr="0029273C">
        <w:tc>
          <w:tcPr>
            <w:tcW w:w="1771" w:type="dxa"/>
          </w:tcPr>
          <w:p w:rsidR="0065193D" w:rsidRPr="007478FC" w:rsidRDefault="0065193D" w:rsidP="002E18E1">
            <w:pPr>
              <w:jc w:val="center"/>
              <w:rPr>
                <w:b/>
                <w:color w:val="00B0F0"/>
                <w:sz w:val="18"/>
                <w:szCs w:val="18"/>
              </w:rPr>
            </w:pPr>
          </w:p>
          <w:p w:rsidR="009A41C3" w:rsidRPr="007478FC" w:rsidRDefault="009A41C3" w:rsidP="002E18E1">
            <w:pPr>
              <w:jc w:val="center"/>
              <w:rPr>
                <w:b/>
                <w:color w:val="00B0F0"/>
                <w:sz w:val="18"/>
                <w:szCs w:val="18"/>
              </w:rPr>
            </w:pPr>
            <w:r w:rsidRPr="007478FC">
              <w:rPr>
                <w:b/>
                <w:color w:val="00B0F0"/>
                <w:sz w:val="18"/>
                <w:szCs w:val="18"/>
              </w:rPr>
              <w:t>Nova Scotia</w:t>
            </w:r>
          </w:p>
          <w:p w:rsidR="002E18E1" w:rsidRPr="007478FC" w:rsidRDefault="002E18E1" w:rsidP="002E18E1">
            <w:pPr>
              <w:jc w:val="center"/>
              <w:rPr>
                <w:b/>
                <w:color w:val="00B0F0"/>
                <w:sz w:val="18"/>
                <w:szCs w:val="18"/>
              </w:rPr>
            </w:pPr>
          </w:p>
        </w:tc>
        <w:tc>
          <w:tcPr>
            <w:tcW w:w="1771" w:type="dxa"/>
          </w:tcPr>
          <w:p w:rsidR="0065193D" w:rsidRPr="007478FC" w:rsidRDefault="0065193D" w:rsidP="0029273C">
            <w:pPr>
              <w:jc w:val="center"/>
              <w:rPr>
                <w:b/>
                <w:color w:val="00B0F0"/>
                <w:sz w:val="18"/>
                <w:szCs w:val="18"/>
              </w:rPr>
            </w:pPr>
          </w:p>
          <w:p w:rsidR="009A41C3" w:rsidRPr="007478FC" w:rsidRDefault="009A41C3" w:rsidP="0029273C">
            <w:pPr>
              <w:jc w:val="center"/>
              <w:rPr>
                <w:b/>
                <w:color w:val="00B0F0"/>
                <w:sz w:val="18"/>
                <w:szCs w:val="18"/>
              </w:rPr>
            </w:pPr>
            <w:r w:rsidRPr="007478FC">
              <w:rPr>
                <w:b/>
                <w:color w:val="00B0F0"/>
                <w:sz w:val="18"/>
                <w:szCs w:val="18"/>
              </w:rPr>
              <w:t>638385 (2006)</w:t>
            </w:r>
          </w:p>
        </w:tc>
        <w:tc>
          <w:tcPr>
            <w:tcW w:w="1771" w:type="dxa"/>
          </w:tcPr>
          <w:p w:rsidR="0065193D" w:rsidRPr="007478FC" w:rsidRDefault="0065193D" w:rsidP="0029273C">
            <w:pPr>
              <w:jc w:val="center"/>
              <w:rPr>
                <w:b/>
                <w:color w:val="00B0F0"/>
                <w:sz w:val="18"/>
                <w:szCs w:val="18"/>
              </w:rPr>
            </w:pPr>
          </w:p>
          <w:p w:rsidR="009A41C3" w:rsidRPr="007478FC" w:rsidRDefault="009A41C3" w:rsidP="0029273C">
            <w:pPr>
              <w:jc w:val="center"/>
              <w:rPr>
                <w:b/>
                <w:color w:val="00B0F0"/>
                <w:sz w:val="18"/>
                <w:szCs w:val="18"/>
              </w:rPr>
            </w:pPr>
            <w:r w:rsidRPr="007478FC">
              <w:rPr>
                <w:b/>
                <w:color w:val="00B0F0"/>
                <w:sz w:val="18"/>
                <w:szCs w:val="18"/>
              </w:rPr>
              <w:t>?</w:t>
            </w:r>
          </w:p>
        </w:tc>
        <w:tc>
          <w:tcPr>
            <w:tcW w:w="1771" w:type="dxa"/>
          </w:tcPr>
          <w:p w:rsidR="0065193D" w:rsidRPr="007478FC" w:rsidRDefault="0065193D" w:rsidP="0029273C">
            <w:pPr>
              <w:jc w:val="center"/>
              <w:rPr>
                <w:b/>
                <w:color w:val="00B0F0"/>
                <w:sz w:val="18"/>
                <w:szCs w:val="18"/>
              </w:rPr>
            </w:pPr>
          </w:p>
          <w:p w:rsidR="009A41C3" w:rsidRPr="007478FC" w:rsidRDefault="009A41C3" w:rsidP="0029273C">
            <w:pPr>
              <w:jc w:val="center"/>
              <w:rPr>
                <w:b/>
                <w:color w:val="00B0F0"/>
                <w:sz w:val="18"/>
                <w:szCs w:val="18"/>
              </w:rPr>
            </w:pPr>
            <w:r w:rsidRPr="007478FC">
              <w:rPr>
                <w:b/>
                <w:color w:val="00B0F0"/>
                <w:sz w:val="18"/>
                <w:szCs w:val="18"/>
              </w:rPr>
              <w:t>28854 km</w:t>
            </w:r>
            <w:r w:rsidRPr="007478FC">
              <w:rPr>
                <w:b/>
                <w:color w:val="00B0F0"/>
                <w:sz w:val="18"/>
                <w:szCs w:val="18"/>
                <w:vertAlign w:val="superscript"/>
              </w:rPr>
              <w:t>2</w:t>
            </w:r>
          </w:p>
        </w:tc>
        <w:tc>
          <w:tcPr>
            <w:tcW w:w="1772" w:type="dxa"/>
          </w:tcPr>
          <w:p w:rsidR="0065193D" w:rsidRPr="007478FC" w:rsidRDefault="0065193D" w:rsidP="0029273C">
            <w:pPr>
              <w:jc w:val="center"/>
              <w:rPr>
                <w:b/>
                <w:color w:val="00B0F0"/>
                <w:sz w:val="18"/>
                <w:szCs w:val="18"/>
              </w:rPr>
            </w:pPr>
          </w:p>
          <w:p w:rsidR="009A41C3" w:rsidRPr="007478FC" w:rsidRDefault="009A41C3" w:rsidP="0029273C">
            <w:pPr>
              <w:jc w:val="center"/>
              <w:rPr>
                <w:b/>
                <w:color w:val="00B0F0"/>
                <w:sz w:val="18"/>
                <w:szCs w:val="18"/>
              </w:rPr>
            </w:pPr>
            <w:r w:rsidRPr="007478FC">
              <w:rPr>
                <w:b/>
                <w:color w:val="00B0F0"/>
                <w:sz w:val="18"/>
                <w:szCs w:val="18"/>
              </w:rPr>
              <w:t>16.30%</w:t>
            </w:r>
          </w:p>
        </w:tc>
      </w:tr>
    </w:tbl>
    <w:p w:rsidR="0029273C" w:rsidRDefault="0029273C" w:rsidP="003F661F"/>
    <w:p w:rsidR="007478FC" w:rsidRDefault="007478FC" w:rsidP="007478FC">
      <w:pPr>
        <w:rPr>
          <w:b/>
        </w:rPr>
      </w:pPr>
      <w:r>
        <w:rPr>
          <w:b/>
        </w:rPr>
        <w:t>Fine - Population</w:t>
      </w:r>
    </w:p>
    <w:p w:rsidR="003C373F" w:rsidRDefault="003C373F" w:rsidP="007478FC">
      <w:r>
        <w:t>Justin expressed some concern about including full counties in the coarse estimate. In particular he feels that Nova Scotia will be overestimated by the inclusion of Halifax. Christine agreed and stated that this was the reason that a fine scale (at the census track level (US) or subgroup level (CA) was estimated. Christine went over the numbers arrived at from this fine-scale analysis (Slide 12). Marilyn stated that the fact sheet should discuss the current population at the higher resolution with fairly recent changes included. The coarser scale resolution will encompass a longer time scale.</w:t>
      </w:r>
    </w:p>
    <w:p w:rsidR="003C373F" w:rsidRDefault="003C373F" w:rsidP="007478FC"/>
    <w:p w:rsidR="003C373F" w:rsidRDefault="003C373F" w:rsidP="007478FC">
      <w:pPr>
        <w:rPr>
          <w:b/>
        </w:rPr>
      </w:pPr>
      <w:r>
        <w:rPr>
          <w:b/>
        </w:rPr>
        <w:t>Employment</w:t>
      </w:r>
    </w:p>
    <w:p w:rsidR="003C373F" w:rsidRDefault="003C373F" w:rsidP="007478FC">
      <w:r>
        <w:t xml:space="preserve">The group then discussed the employment density data. Becca wondered if it would be more useful to look at the number/percentage of people unemployed as that is what people hear on the news. Daniel stated that employment matters but not unemployment. The group discussed what the original intent with the indicator was. Justin stated that it was to know how many people are working in the watershed as a pressure. Julie Knisel </w:t>
      </w:r>
      <w:r>
        <w:lastRenderedPageBreak/>
        <w:t>stated that at a broader scale it's important to know how many people are affecting the coast. Showing employment signifies that  pressure on the coast.</w:t>
      </w:r>
      <w:r w:rsidR="00651E3F">
        <w:t xml:space="preserve"> Marilyn also pointed out that potential economic impact. Justin stated that he's OK looking at pure values if the purpose of the indicator is to look at employment pressure. </w:t>
      </w:r>
    </w:p>
    <w:p w:rsidR="00651E3F" w:rsidRDefault="00651E3F" w:rsidP="007478FC"/>
    <w:p w:rsidR="00651E3F" w:rsidRDefault="00651E3F" w:rsidP="007478FC">
      <w:r>
        <w:t>Marilyn asked the group what they noticed when they looked at Slide 9. Daniel stated that his take-away was that New Brunswick's impact is puny and small compared to Massachusetts. Christine stated that she likes Slide 11 (with text). Justin and Marilyn agreed that this slide best summarized the employment information.</w:t>
      </w:r>
    </w:p>
    <w:p w:rsidR="00651E3F" w:rsidRDefault="00651E3F" w:rsidP="007478FC"/>
    <w:p w:rsidR="00651E3F" w:rsidRDefault="00651E3F" w:rsidP="007478FC">
      <w:pPr>
        <w:rPr>
          <w:b/>
        </w:rPr>
      </w:pPr>
      <w:r>
        <w:rPr>
          <w:b/>
        </w:rPr>
        <w:t>Next Steps</w:t>
      </w:r>
    </w:p>
    <w:p w:rsidR="00651E3F" w:rsidRDefault="00651E3F" w:rsidP="007478FC">
      <w:pPr>
        <w:rPr>
          <w:b/>
          <w:i/>
          <w:color w:val="E36C0A" w:themeColor="accent6" w:themeShade="BF"/>
        </w:rPr>
      </w:pPr>
      <w:r>
        <w:t xml:space="preserve">The group agreed to have an e-mail discussion around the purpose of the population data and what questions it is important to answer with that data. A call will likely be held in December or January to finish up this indicator and to discuss best ways of showing the data spatially </w:t>
      </w:r>
      <w:r>
        <w:rPr>
          <w:b/>
          <w:i/>
          <w:color w:val="E36C0A" w:themeColor="accent6" w:themeShade="BF"/>
        </w:rPr>
        <w:t>(Action to be taken: Christine will put together a figure showing spatial population coverage).</w:t>
      </w:r>
    </w:p>
    <w:p w:rsidR="00651E3F" w:rsidRDefault="00651E3F" w:rsidP="007478FC">
      <w:pPr>
        <w:rPr>
          <w:b/>
          <w:i/>
          <w:color w:val="E36C0A" w:themeColor="accent6" w:themeShade="BF"/>
        </w:rPr>
      </w:pPr>
    </w:p>
    <w:p w:rsidR="00651E3F" w:rsidRPr="00651E3F" w:rsidRDefault="00651E3F" w:rsidP="007478FC">
      <w:r>
        <w:t>Marilyn suggested that the NOAA tool (</w:t>
      </w:r>
      <w:r w:rsidRPr="00651E3F">
        <w:t>http://stateofthecoast.noaa.gov/</w:t>
      </w:r>
      <w:r>
        <w:t>) might be a good place to begin the e-mail discussions.</w:t>
      </w:r>
    </w:p>
    <w:p w:rsidR="00222AE3" w:rsidRPr="00222AE3" w:rsidRDefault="00222AE3" w:rsidP="00725EF3"/>
    <w:sectPr w:rsidR="00222AE3" w:rsidRPr="00222AE3" w:rsidSect="000C70C0">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3B7" w:rsidRDefault="002553B7">
      <w:r>
        <w:separator/>
      </w:r>
    </w:p>
  </w:endnote>
  <w:endnote w:type="continuationSeparator" w:id="1">
    <w:p w:rsidR="002553B7" w:rsidRDefault="002553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2D1" w:rsidRPr="0080741B" w:rsidRDefault="00146161" w:rsidP="0080741B">
    <w:pPr>
      <w:pStyle w:val="Footer"/>
      <w:jc w:val="right"/>
      <w:rPr>
        <w:i/>
        <w:sz w:val="20"/>
        <w:szCs w:val="20"/>
      </w:rPr>
    </w:pPr>
    <w:r>
      <w:rPr>
        <w:i/>
        <w:sz w:val="20"/>
        <w:szCs w:val="20"/>
      </w:rPr>
      <w:t>October 31</w:t>
    </w:r>
    <w:r w:rsidR="00222AE3">
      <w:rPr>
        <w:i/>
        <w:sz w:val="20"/>
        <w:szCs w:val="20"/>
      </w:rPr>
      <w:t>, 2011</w:t>
    </w:r>
    <w:r w:rsidR="00FE32D1" w:rsidRPr="0080741B">
      <w:rPr>
        <w:i/>
        <w:sz w:val="20"/>
        <w:szCs w:val="20"/>
      </w:rPr>
      <w:t xml:space="preserve"> - Page </w:t>
    </w:r>
    <w:r w:rsidR="0086615E" w:rsidRPr="0080741B">
      <w:rPr>
        <w:rStyle w:val="PageNumber"/>
        <w:i/>
        <w:sz w:val="20"/>
        <w:szCs w:val="20"/>
      </w:rPr>
      <w:fldChar w:fldCharType="begin"/>
    </w:r>
    <w:r w:rsidR="00FE32D1" w:rsidRPr="0080741B">
      <w:rPr>
        <w:rStyle w:val="PageNumber"/>
        <w:i/>
        <w:sz w:val="20"/>
        <w:szCs w:val="20"/>
      </w:rPr>
      <w:instrText xml:space="preserve"> PAGE </w:instrText>
    </w:r>
    <w:r w:rsidR="0086615E" w:rsidRPr="0080741B">
      <w:rPr>
        <w:rStyle w:val="PageNumber"/>
        <w:i/>
        <w:sz w:val="20"/>
        <w:szCs w:val="20"/>
      </w:rPr>
      <w:fldChar w:fldCharType="separate"/>
    </w:r>
    <w:r w:rsidR="00672587">
      <w:rPr>
        <w:rStyle w:val="PageNumber"/>
        <w:i/>
        <w:noProof/>
        <w:sz w:val="20"/>
        <w:szCs w:val="20"/>
      </w:rPr>
      <w:t>4</w:t>
    </w:r>
    <w:r w:rsidR="0086615E" w:rsidRPr="0080741B">
      <w:rPr>
        <w:rStyle w:val="PageNumber"/>
        <w: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3B7" w:rsidRDefault="002553B7">
      <w:r>
        <w:separator/>
      </w:r>
    </w:p>
  </w:footnote>
  <w:footnote w:type="continuationSeparator" w:id="1">
    <w:p w:rsidR="002553B7" w:rsidRDefault="002553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A44C0F0"/>
    <w:lvl w:ilvl="0">
      <w:numFmt w:val="decimal"/>
      <w:lvlText w:val="*"/>
      <w:lvlJc w:val="left"/>
    </w:lvl>
  </w:abstractNum>
  <w:abstractNum w:abstractNumId="1">
    <w:nsid w:val="0AD71433"/>
    <w:multiLevelType w:val="hybridMultilevel"/>
    <w:tmpl w:val="544EAE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8C773C"/>
    <w:multiLevelType w:val="hybridMultilevel"/>
    <w:tmpl w:val="31F054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08285F"/>
    <w:multiLevelType w:val="hybridMultilevel"/>
    <w:tmpl w:val="0074A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323E27"/>
    <w:multiLevelType w:val="hybridMultilevel"/>
    <w:tmpl w:val="20549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460BDD"/>
    <w:multiLevelType w:val="hybridMultilevel"/>
    <w:tmpl w:val="B07E5F48"/>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nsid w:val="19464E85"/>
    <w:multiLevelType w:val="hybridMultilevel"/>
    <w:tmpl w:val="FBE044A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7">
    <w:nsid w:val="358626F6"/>
    <w:multiLevelType w:val="hybridMultilevel"/>
    <w:tmpl w:val="B5A290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E50323E"/>
    <w:multiLevelType w:val="hybridMultilevel"/>
    <w:tmpl w:val="4CB641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652E63"/>
    <w:multiLevelType w:val="hybridMultilevel"/>
    <w:tmpl w:val="71F647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AE14CB"/>
    <w:multiLevelType w:val="hybridMultilevel"/>
    <w:tmpl w:val="BCB63E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4C96364"/>
    <w:multiLevelType w:val="hybridMultilevel"/>
    <w:tmpl w:val="5A48F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630B10"/>
    <w:multiLevelType w:val="hybridMultilevel"/>
    <w:tmpl w:val="4DCC148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6EE92939"/>
    <w:multiLevelType w:val="hybridMultilevel"/>
    <w:tmpl w:val="3C4823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10"/>
  </w:num>
  <w:num w:numId="3">
    <w:abstractNumId w:val="2"/>
  </w:num>
  <w:num w:numId="4">
    <w:abstractNumId w:val="12"/>
  </w:num>
  <w:num w:numId="5">
    <w:abstractNumId w:val="13"/>
  </w:num>
  <w:num w:numId="6">
    <w:abstractNumId w:val="9"/>
  </w:num>
  <w:num w:numId="7">
    <w:abstractNumId w:val="1"/>
  </w:num>
  <w:num w:numId="8">
    <w:abstractNumId w:val="8"/>
  </w:num>
  <w:num w:numId="9">
    <w:abstractNumId w:val="7"/>
  </w:num>
  <w:num w:numId="10">
    <w:abstractNumId w:val="0"/>
    <w:lvlOverride w:ilvl="0">
      <w:lvl w:ilvl="0">
        <w:numFmt w:val="bullet"/>
        <w:lvlText w:val="•"/>
        <w:legacy w:legacy="1" w:legacySpace="0" w:legacyIndent="0"/>
        <w:lvlJc w:val="left"/>
        <w:rPr>
          <w:rFonts w:ascii="Arial" w:hAnsi="Arial" w:cs="Arial" w:hint="default"/>
          <w:sz w:val="36"/>
        </w:rPr>
      </w:lvl>
    </w:lvlOverride>
  </w:num>
  <w:num w:numId="11">
    <w:abstractNumId w:val="6"/>
  </w:num>
  <w:num w:numId="12">
    <w:abstractNumId w:val="11"/>
  </w:num>
  <w:num w:numId="13">
    <w:abstractNumId w:val="4"/>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7A77E1"/>
    <w:rsid w:val="000264C0"/>
    <w:rsid w:val="00026D15"/>
    <w:rsid w:val="0003115D"/>
    <w:rsid w:val="00071316"/>
    <w:rsid w:val="000B17E8"/>
    <w:rsid w:val="000B5ECE"/>
    <w:rsid w:val="000C3A2E"/>
    <w:rsid w:val="000C3EA7"/>
    <w:rsid w:val="000C70C0"/>
    <w:rsid w:val="001045A6"/>
    <w:rsid w:val="0011074F"/>
    <w:rsid w:val="00146161"/>
    <w:rsid w:val="0018540F"/>
    <w:rsid w:val="0018591C"/>
    <w:rsid w:val="001B139A"/>
    <w:rsid w:val="001B40DD"/>
    <w:rsid w:val="001C7938"/>
    <w:rsid w:val="001D3380"/>
    <w:rsid w:val="001D7A9F"/>
    <w:rsid w:val="001E2368"/>
    <w:rsid w:val="00221703"/>
    <w:rsid w:val="00222AE3"/>
    <w:rsid w:val="00225827"/>
    <w:rsid w:val="0023005C"/>
    <w:rsid w:val="00252B36"/>
    <w:rsid w:val="002553B7"/>
    <w:rsid w:val="00281652"/>
    <w:rsid w:val="0029273C"/>
    <w:rsid w:val="002A21A1"/>
    <w:rsid w:val="002B1328"/>
    <w:rsid w:val="002B2669"/>
    <w:rsid w:val="002B48AD"/>
    <w:rsid w:val="002E18E1"/>
    <w:rsid w:val="002F048F"/>
    <w:rsid w:val="002F339A"/>
    <w:rsid w:val="002F6189"/>
    <w:rsid w:val="00315E86"/>
    <w:rsid w:val="0031736D"/>
    <w:rsid w:val="00354EC7"/>
    <w:rsid w:val="00362E85"/>
    <w:rsid w:val="00373A43"/>
    <w:rsid w:val="0038356C"/>
    <w:rsid w:val="003849BA"/>
    <w:rsid w:val="00385F4A"/>
    <w:rsid w:val="003B7642"/>
    <w:rsid w:val="003C373F"/>
    <w:rsid w:val="003D62D9"/>
    <w:rsid w:val="003F1EAC"/>
    <w:rsid w:val="003F661F"/>
    <w:rsid w:val="00430AA3"/>
    <w:rsid w:val="004474B4"/>
    <w:rsid w:val="004674FD"/>
    <w:rsid w:val="00477D25"/>
    <w:rsid w:val="00481142"/>
    <w:rsid w:val="004B4086"/>
    <w:rsid w:val="004B4F09"/>
    <w:rsid w:val="004E4C51"/>
    <w:rsid w:val="004E54DB"/>
    <w:rsid w:val="005030AE"/>
    <w:rsid w:val="00506DD6"/>
    <w:rsid w:val="00511022"/>
    <w:rsid w:val="00550EB8"/>
    <w:rsid w:val="00582687"/>
    <w:rsid w:val="005A1F4A"/>
    <w:rsid w:val="005B2AB3"/>
    <w:rsid w:val="005B2EEA"/>
    <w:rsid w:val="005C015F"/>
    <w:rsid w:val="005C35F8"/>
    <w:rsid w:val="005C4236"/>
    <w:rsid w:val="005D1AAD"/>
    <w:rsid w:val="005D5A3C"/>
    <w:rsid w:val="005E7AFF"/>
    <w:rsid w:val="006009C9"/>
    <w:rsid w:val="006034EC"/>
    <w:rsid w:val="00622A93"/>
    <w:rsid w:val="0065193D"/>
    <w:rsid w:val="00651E3F"/>
    <w:rsid w:val="00672587"/>
    <w:rsid w:val="00687723"/>
    <w:rsid w:val="006A56CA"/>
    <w:rsid w:val="006B018C"/>
    <w:rsid w:val="006F4CCC"/>
    <w:rsid w:val="00720B5E"/>
    <w:rsid w:val="00725EF3"/>
    <w:rsid w:val="007478FC"/>
    <w:rsid w:val="00754EB9"/>
    <w:rsid w:val="00774EDD"/>
    <w:rsid w:val="00781105"/>
    <w:rsid w:val="00786B9E"/>
    <w:rsid w:val="00793C63"/>
    <w:rsid w:val="007A77E1"/>
    <w:rsid w:val="007B39FB"/>
    <w:rsid w:val="007E011E"/>
    <w:rsid w:val="0080741B"/>
    <w:rsid w:val="008134E9"/>
    <w:rsid w:val="00814FB4"/>
    <w:rsid w:val="008235C1"/>
    <w:rsid w:val="00831F25"/>
    <w:rsid w:val="008652DF"/>
    <w:rsid w:val="0086615E"/>
    <w:rsid w:val="00871020"/>
    <w:rsid w:val="00873D17"/>
    <w:rsid w:val="008810F2"/>
    <w:rsid w:val="008A4B84"/>
    <w:rsid w:val="008C709C"/>
    <w:rsid w:val="008C7648"/>
    <w:rsid w:val="009125B1"/>
    <w:rsid w:val="00930C02"/>
    <w:rsid w:val="00930E10"/>
    <w:rsid w:val="00934C2C"/>
    <w:rsid w:val="00974785"/>
    <w:rsid w:val="009A41C3"/>
    <w:rsid w:val="009A68DD"/>
    <w:rsid w:val="00A10FF3"/>
    <w:rsid w:val="00A112AD"/>
    <w:rsid w:val="00A210AB"/>
    <w:rsid w:val="00A24DB4"/>
    <w:rsid w:val="00A32A95"/>
    <w:rsid w:val="00A450B1"/>
    <w:rsid w:val="00A47BC6"/>
    <w:rsid w:val="00A73368"/>
    <w:rsid w:val="00A734A8"/>
    <w:rsid w:val="00A76A46"/>
    <w:rsid w:val="00A8471C"/>
    <w:rsid w:val="00AF35C0"/>
    <w:rsid w:val="00AF3DF7"/>
    <w:rsid w:val="00AF3FBF"/>
    <w:rsid w:val="00B617A2"/>
    <w:rsid w:val="00B72E02"/>
    <w:rsid w:val="00B843E7"/>
    <w:rsid w:val="00BB2177"/>
    <w:rsid w:val="00BD524A"/>
    <w:rsid w:val="00C04740"/>
    <w:rsid w:val="00C53B95"/>
    <w:rsid w:val="00C70B4E"/>
    <w:rsid w:val="00C719AD"/>
    <w:rsid w:val="00C759A5"/>
    <w:rsid w:val="00C86C4B"/>
    <w:rsid w:val="00CB2771"/>
    <w:rsid w:val="00CB2AC5"/>
    <w:rsid w:val="00CC6FD4"/>
    <w:rsid w:val="00CC77A7"/>
    <w:rsid w:val="00D1239D"/>
    <w:rsid w:val="00D33CF5"/>
    <w:rsid w:val="00D359E9"/>
    <w:rsid w:val="00D73AC5"/>
    <w:rsid w:val="00D94D57"/>
    <w:rsid w:val="00D969E7"/>
    <w:rsid w:val="00DA3987"/>
    <w:rsid w:val="00DB2B3F"/>
    <w:rsid w:val="00E1467B"/>
    <w:rsid w:val="00E230F8"/>
    <w:rsid w:val="00E2564A"/>
    <w:rsid w:val="00E266CC"/>
    <w:rsid w:val="00E26F5C"/>
    <w:rsid w:val="00E4023B"/>
    <w:rsid w:val="00E7491C"/>
    <w:rsid w:val="00EA56E6"/>
    <w:rsid w:val="00EA6274"/>
    <w:rsid w:val="00EE4DB7"/>
    <w:rsid w:val="00EE58F4"/>
    <w:rsid w:val="00F0073D"/>
    <w:rsid w:val="00F14DD1"/>
    <w:rsid w:val="00F84B04"/>
    <w:rsid w:val="00F97B4C"/>
    <w:rsid w:val="00FA0A2A"/>
    <w:rsid w:val="00FA2FB2"/>
    <w:rsid w:val="00FB1250"/>
    <w:rsid w:val="00FE32D1"/>
    <w:rsid w:val="00FE33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0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741B"/>
    <w:pPr>
      <w:tabs>
        <w:tab w:val="center" w:pos="4320"/>
        <w:tab w:val="right" w:pos="8640"/>
      </w:tabs>
    </w:pPr>
  </w:style>
  <w:style w:type="paragraph" w:styleId="Footer">
    <w:name w:val="footer"/>
    <w:basedOn w:val="Normal"/>
    <w:rsid w:val="0080741B"/>
    <w:pPr>
      <w:tabs>
        <w:tab w:val="center" w:pos="4320"/>
        <w:tab w:val="right" w:pos="8640"/>
      </w:tabs>
    </w:pPr>
  </w:style>
  <w:style w:type="character" w:styleId="PageNumber">
    <w:name w:val="page number"/>
    <w:basedOn w:val="DefaultParagraphFont"/>
    <w:rsid w:val="0080741B"/>
  </w:style>
  <w:style w:type="paragraph" w:styleId="BalloonText">
    <w:name w:val="Balloon Text"/>
    <w:basedOn w:val="Normal"/>
    <w:semiHidden/>
    <w:rsid w:val="0011074F"/>
    <w:rPr>
      <w:rFonts w:ascii="Tahoma" w:hAnsi="Tahoma" w:cs="Tahoma"/>
      <w:sz w:val="16"/>
      <w:szCs w:val="16"/>
    </w:rPr>
  </w:style>
  <w:style w:type="table" w:styleId="TableGrid">
    <w:name w:val="Table Grid"/>
    <w:basedOn w:val="TableNormal"/>
    <w:uiPriority w:val="59"/>
    <w:rsid w:val="005D5A3C"/>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0073D"/>
    <w:pPr>
      <w:ind w:left="720"/>
      <w:contextualSpacing/>
    </w:pPr>
  </w:style>
</w:styles>
</file>

<file path=word/webSettings.xml><?xml version="1.0" encoding="utf-8"?>
<w:webSettings xmlns:r="http://schemas.openxmlformats.org/officeDocument/2006/relationships" xmlns:w="http://schemas.openxmlformats.org/wordprocessingml/2006/main">
  <w:divs>
    <w:div w:id="270169937">
      <w:bodyDiv w:val="1"/>
      <w:marLeft w:val="0"/>
      <w:marRight w:val="0"/>
      <w:marTop w:val="0"/>
      <w:marBottom w:val="0"/>
      <w:divBdr>
        <w:top w:val="none" w:sz="0" w:space="0" w:color="auto"/>
        <w:left w:val="none" w:sz="0" w:space="0" w:color="auto"/>
        <w:bottom w:val="none" w:sz="0" w:space="0" w:color="auto"/>
        <w:right w:val="none" w:sz="0" w:space="0" w:color="auto"/>
      </w:divBdr>
    </w:div>
    <w:div w:id="1164079518">
      <w:bodyDiv w:val="1"/>
      <w:marLeft w:val="0"/>
      <w:marRight w:val="0"/>
      <w:marTop w:val="0"/>
      <w:marBottom w:val="0"/>
      <w:divBdr>
        <w:top w:val="none" w:sz="0" w:space="0" w:color="auto"/>
        <w:left w:val="none" w:sz="0" w:space="0" w:color="auto"/>
        <w:bottom w:val="none" w:sz="0" w:space="0" w:color="auto"/>
        <w:right w:val="none" w:sz="0" w:space="0" w:color="auto"/>
      </w:divBdr>
    </w:div>
    <w:div w:id="1291593460">
      <w:bodyDiv w:val="1"/>
      <w:marLeft w:val="0"/>
      <w:marRight w:val="0"/>
      <w:marTop w:val="0"/>
      <w:marBottom w:val="0"/>
      <w:divBdr>
        <w:top w:val="none" w:sz="0" w:space="0" w:color="auto"/>
        <w:left w:val="none" w:sz="0" w:space="0" w:color="auto"/>
        <w:bottom w:val="none" w:sz="0" w:space="0" w:color="auto"/>
        <w:right w:val="none" w:sz="0" w:space="0" w:color="auto"/>
      </w:divBdr>
    </w:div>
    <w:div w:id="158776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4</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Coastal Development Conference Call - August 27, 2007</vt:lpstr>
    </vt:vector>
  </TitlesOfParts>
  <Company>University of New England</Company>
  <LinksUpToDate>false</LinksUpToDate>
  <CharactersWithSpaces>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Coastal Development Conference Call - August 27, 2007</dc:title>
  <dc:subject/>
  <dc:creator>Charles Tilburg</dc:creator>
  <cp:keywords/>
  <dc:description/>
  <cp:lastModifiedBy>Christine</cp:lastModifiedBy>
  <cp:revision>23</cp:revision>
  <cp:lastPrinted>2011-06-06T19:19:00Z</cp:lastPrinted>
  <dcterms:created xsi:type="dcterms:W3CDTF">2011-01-24T18:53:00Z</dcterms:created>
  <dcterms:modified xsi:type="dcterms:W3CDTF">2011-11-01T14:52:00Z</dcterms:modified>
</cp:coreProperties>
</file>