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8" w:rsidRPr="00D03916" w:rsidRDefault="00D03916">
      <w:pPr>
        <w:jc w:val="both"/>
        <w:rPr>
          <w:b/>
        </w:rPr>
      </w:pPr>
      <w:r w:rsidRPr="00D03916">
        <w:rPr>
          <w:b/>
        </w:rPr>
        <w:t>Steering Committee Conference Call</w:t>
      </w:r>
      <w:r>
        <w:rPr>
          <w:b/>
        </w:rPr>
        <w:t xml:space="preserve">: </w:t>
      </w:r>
      <w:r w:rsidRPr="00D03916">
        <w:rPr>
          <w:b/>
        </w:rPr>
        <w:t xml:space="preserve"> </w:t>
      </w:r>
      <w:r w:rsidR="009F559A">
        <w:rPr>
          <w:b/>
        </w:rPr>
        <w:t>December 14</w:t>
      </w:r>
      <w:r w:rsidRPr="00D03916">
        <w:rPr>
          <w:b/>
        </w:rPr>
        <w:t>, 2010</w:t>
      </w:r>
    </w:p>
    <w:p w:rsidR="00D03916" w:rsidRDefault="00D03916">
      <w:pPr>
        <w:jc w:val="both"/>
        <w:rPr>
          <w:i/>
        </w:rPr>
      </w:pPr>
    </w:p>
    <w:p w:rsidR="00EC0AC8" w:rsidRDefault="00EC0AC8">
      <w:pPr>
        <w:jc w:val="both"/>
        <w:rPr>
          <w:b/>
        </w:rPr>
      </w:pPr>
      <w:r>
        <w:rPr>
          <w:b/>
        </w:rPr>
        <w:t>Participants</w:t>
      </w:r>
    </w:p>
    <w:p w:rsidR="00D03916" w:rsidRDefault="00414AE4" w:rsidP="00E054B5">
      <w:pPr>
        <w:pStyle w:val="BodyText"/>
        <w:rPr>
          <w:color w:val="auto"/>
        </w:rPr>
      </w:pPr>
      <w:r>
        <w:rPr>
          <w:color w:val="auto"/>
        </w:rPr>
        <w:t xml:space="preserve">Adria Elskus (USGS/U Maine), Diane Gould (EPA), Jim Latimer (EPA), </w:t>
      </w:r>
      <w:r w:rsidR="000638EC">
        <w:rPr>
          <w:color w:val="auto"/>
        </w:rPr>
        <w:t xml:space="preserve">Carolyne Marshall (EC), Kathryn Parlee (EC), </w:t>
      </w:r>
      <w:r>
        <w:rPr>
          <w:color w:val="auto"/>
        </w:rPr>
        <w:t xml:space="preserve">Susan Russell-Robinson (USGS), </w:t>
      </w:r>
      <w:r w:rsidR="000638EC">
        <w:rPr>
          <w:color w:val="auto"/>
        </w:rPr>
        <w:t>and Marilyn ten Brink (EPA).</w:t>
      </w:r>
    </w:p>
    <w:p w:rsidR="00386E8C" w:rsidRDefault="00CC62C2">
      <w:pPr>
        <w:jc w:val="both"/>
        <w:rPr>
          <w:i/>
          <w:color w:val="800080"/>
          <w:sz w:val="20"/>
        </w:rPr>
      </w:pPr>
      <w:r>
        <w:rPr>
          <w:i/>
          <w:color w:val="800080"/>
          <w:sz w:val="20"/>
        </w:rPr>
        <w:t xml:space="preserve"> </w:t>
      </w:r>
    </w:p>
    <w:p w:rsidR="00414AE4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Data in Indicator Reporting Tool </w:t>
      </w:r>
    </w:p>
    <w:p w:rsidR="00414AE4" w:rsidRDefault="00414AE4" w:rsidP="00414AE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reported on the data that is </w:t>
      </w:r>
      <w:r w:rsidR="00AE1911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>included in the Indicator Reporting Tool. Jim Cradock has played a large role in making the data available. As of now the following are included: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eelgrass layers (US - none in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salt marsh layers excluding NB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precipitation (US and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air temperature (US and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sea level (US and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point sources (US and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Aquaculture acres (US and Canada)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Aquaculture economic value (USD and CAD for all states and provinces)</w:t>
      </w:r>
    </w:p>
    <w:p w:rsidR="00414AE4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Mussel Watch</w:t>
      </w:r>
    </w:p>
    <w:p w:rsidR="00414AE4" w:rsidRPr="00E62DA1" w:rsidRDefault="00414AE4" w:rsidP="00414AE4">
      <w:pPr>
        <w:pStyle w:val="HTMLPreformatted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Gulfwatch (trying to work new Gulfwatch in)</w:t>
      </w:r>
    </w:p>
    <w:p w:rsidR="00414AE4" w:rsidRDefault="00414AE4" w:rsidP="00414AE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14AE4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Targeted Release for Aquaculture and Climate Change</w:t>
      </w:r>
    </w:p>
    <w:p w:rsidR="00414AE4" w:rsidRDefault="00414AE4" w:rsidP="00414AE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then discussed how the aquaculture and climate change fact sheets can be broadcast effectively. Christine plans on sending the fact sheet to Working Group members along with highlight</w:t>
      </w:r>
      <w:r w:rsidR="00AE1911">
        <w:rPr>
          <w:rFonts w:ascii="Times New Roman" w:hAnsi="Times New Roman" w:cs="Times New Roman"/>
          <w:sz w:val="24"/>
          <w:szCs w:val="24"/>
        </w:rPr>
        <w:t>s of the text that might be of most interest to each individual</w:t>
      </w:r>
      <w:r>
        <w:rPr>
          <w:rFonts w:ascii="Times New Roman" w:hAnsi="Times New Roman" w:cs="Times New Roman"/>
          <w:sz w:val="24"/>
          <w:szCs w:val="24"/>
        </w:rPr>
        <w:t xml:space="preserve">. The following </w:t>
      </w:r>
      <w:r w:rsidR="0008035B">
        <w:rPr>
          <w:rFonts w:ascii="Times New Roman" w:hAnsi="Times New Roman" w:cs="Times New Roman"/>
          <w:sz w:val="24"/>
          <w:szCs w:val="24"/>
        </w:rPr>
        <w:t>suggestions</w:t>
      </w:r>
      <w:r>
        <w:rPr>
          <w:rFonts w:ascii="Times New Roman" w:hAnsi="Times New Roman" w:cs="Times New Roman"/>
          <w:sz w:val="24"/>
          <w:szCs w:val="24"/>
        </w:rPr>
        <w:t xml:space="preserve"> were made regarding the release:</w:t>
      </w:r>
    </w:p>
    <w:p w:rsidR="00AE1911" w:rsidRDefault="00AE1911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Kathryn suggested connecting with Debbie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Buott</w:t>
      </w:r>
      <w:proofErr w:type="spellEnd"/>
      <w:r>
        <w:rPr>
          <w:rFonts w:ascii="Times New Roman" w:hAnsi="Times New Roman" w:cs="Times New Roman"/>
          <w:sz w:val="24"/>
          <w:szCs w:val="24"/>
        </w:rPr>
        <w:t>-Matheson (Outreach) for suggestions and assistance with a press release.</w:t>
      </w:r>
    </w:p>
    <w:p w:rsidR="00F9704E" w:rsidRPr="00F9704E" w:rsidRDefault="00414AE4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organizations were suggested for inclusion with a press-release</w:t>
      </w:r>
      <w:r w:rsidR="00F9704E">
        <w:rPr>
          <w:rFonts w:ascii="Times New Roman" w:hAnsi="Times New Roman" w:cs="Times New Roman"/>
          <w:sz w:val="24"/>
          <w:szCs w:val="24"/>
        </w:rPr>
        <w:t xml:space="preserve"> for the aquaculture fact sheet</w:t>
      </w:r>
      <w:r>
        <w:rPr>
          <w:rFonts w:ascii="Times New Roman" w:hAnsi="Times New Roman" w:cs="Times New Roman"/>
          <w:sz w:val="24"/>
          <w:szCs w:val="24"/>
        </w:rPr>
        <w:t xml:space="preserve">: Fish and Wildlife Service newsletter (Adria), SETAC-NAC newsletter (Adria), Aquaculture North America (SR2), ACZISC newsletter (CMT), World Aquaculture Society - North Atlantic, World Aquaculture Magazine, </w:t>
      </w:r>
      <w:r w:rsidR="00472D8D">
        <w:rPr>
          <w:rFonts w:ascii="Times New Roman" w:hAnsi="Times New Roman" w:cs="Times New Roman"/>
          <w:sz w:val="24"/>
          <w:szCs w:val="24"/>
        </w:rPr>
        <w:t>Fish and Wildlife Atlantic Council of Fisheries</w:t>
      </w:r>
      <w:r w:rsidR="00F97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04E">
        <w:rPr>
          <w:rFonts w:ascii="Times New Roman" w:hAnsi="Times New Roman" w:cs="Times New Roman"/>
          <w:sz w:val="24"/>
          <w:szCs w:val="24"/>
        </w:rPr>
        <w:t>Diadr</w:t>
      </w:r>
      <w:r w:rsidR="0008035B">
        <w:rPr>
          <w:rFonts w:ascii="Times New Roman" w:hAnsi="Times New Roman" w:cs="Times New Roman"/>
          <w:sz w:val="24"/>
          <w:szCs w:val="24"/>
        </w:rPr>
        <w:t>o</w:t>
      </w:r>
      <w:r w:rsidR="00F9704E">
        <w:rPr>
          <w:rFonts w:ascii="Times New Roman" w:hAnsi="Times New Roman" w:cs="Times New Roman"/>
          <w:sz w:val="24"/>
          <w:szCs w:val="24"/>
        </w:rPr>
        <w:t>mous</w:t>
      </w:r>
      <w:proofErr w:type="spellEnd"/>
      <w:r w:rsidR="00F9704E">
        <w:rPr>
          <w:rFonts w:ascii="Times New Roman" w:hAnsi="Times New Roman" w:cs="Times New Roman"/>
          <w:sz w:val="24"/>
          <w:szCs w:val="24"/>
        </w:rPr>
        <w:t xml:space="preserve"> species network (Adria), NEERS</w:t>
      </w:r>
    </w:p>
    <w:p w:rsidR="00DC5DBD" w:rsidRDefault="00DC5DBD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organizations were suggested for inclusion with a press-release for the climate fact sheet: </w:t>
      </w:r>
      <w:r w:rsidR="00AE1911">
        <w:rPr>
          <w:rFonts w:ascii="Times New Roman" w:hAnsi="Times New Roman" w:cs="Times New Roman"/>
          <w:sz w:val="24"/>
          <w:szCs w:val="24"/>
        </w:rPr>
        <w:t>various climate listser</w:t>
      </w:r>
      <w:r w:rsidR="00F9704E">
        <w:rPr>
          <w:rFonts w:ascii="Times New Roman" w:hAnsi="Times New Roman" w:cs="Times New Roman"/>
          <w:sz w:val="24"/>
          <w:szCs w:val="24"/>
        </w:rPr>
        <w:t>vs, NEERS, ACZISC, climate change listserve (connect with Carolyne and Ellen McCrey)</w:t>
      </w:r>
    </w:p>
    <w:p w:rsidR="00F9704E" w:rsidRDefault="00F9704E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discussion was had regarding preparing an information package with ESIP folder, general fact sheet, and 2 specific fact sheets for the New England Governors and Eastern Premiers (get Debbie's assistance with this).</w:t>
      </w:r>
    </w:p>
    <w:p w:rsidR="00F9704E" w:rsidRDefault="00F9704E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Kathryn wondered if the timing would be right to connect with regional magazines.</w:t>
      </w:r>
    </w:p>
    <w:p w:rsidR="00F9704E" w:rsidRDefault="00F9704E" w:rsidP="00AE1911">
      <w:pPr>
        <w:pStyle w:val="HTMLPreformatted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3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Marilyn wondered about trying to bring in K-12 students.</w:t>
      </w:r>
    </w:p>
    <w:p w:rsidR="00F9704E" w:rsidRDefault="00F9704E" w:rsidP="00AE19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414AE4" w:rsidRDefault="00414AE4" w:rsidP="00AE1911">
      <w:pPr>
        <w:pStyle w:val="HTMLPreformatted"/>
        <w:tabs>
          <w:tab w:val="clear" w:pos="916"/>
          <w:tab w:val="clear" w:pos="1832"/>
          <w:tab w:val="left" w:pos="720"/>
          <w:tab w:val="left" w:pos="990"/>
        </w:tabs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F9704E" w:rsidRDefault="00F9704E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F9704E" w:rsidRDefault="00F9704E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414AE4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Other Subcommittee Progress</w:t>
      </w:r>
    </w:p>
    <w:p w:rsidR="00414AE4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414AE4" w:rsidRPr="00E62DA1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09"/>
        <w:gridCol w:w="1342"/>
        <w:gridCol w:w="1259"/>
        <w:gridCol w:w="1990"/>
        <w:gridCol w:w="1709"/>
        <w:gridCol w:w="1207"/>
      </w:tblGrid>
      <w:tr w:rsidR="00414AE4" w:rsidTr="00CF6D3D">
        <w:tc>
          <w:tcPr>
            <w:tcW w:w="1756" w:type="dxa"/>
            <w:shd w:val="clear" w:color="auto" w:fill="EAF1DD" w:themeFill="accent3" w:themeFillTint="33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Subcommittee</w:t>
            </w:r>
          </w:p>
        </w:tc>
        <w:tc>
          <w:tcPr>
            <w:tcW w:w="1473" w:type="dxa"/>
            <w:shd w:val="clear" w:color="auto" w:fill="EAF1DD" w:themeFill="accent3" w:themeFillTint="33"/>
          </w:tcPr>
          <w:p w:rsidR="00414AE4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Indicators Selected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414AE4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Collected </w:t>
            </w:r>
          </w:p>
        </w:tc>
        <w:tc>
          <w:tcPr>
            <w:tcW w:w="1990" w:type="dxa"/>
            <w:shd w:val="clear" w:color="auto" w:fill="EAF1DD" w:themeFill="accent3" w:themeFillTint="33"/>
          </w:tcPr>
          <w:p w:rsidR="00414AE4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Analysis Completed </w:t>
            </w:r>
          </w:p>
        </w:tc>
        <w:tc>
          <w:tcPr>
            <w:tcW w:w="1709" w:type="dxa"/>
            <w:shd w:val="clear" w:color="auto" w:fill="EAF1DD" w:themeFill="accent3" w:themeFillTint="33"/>
          </w:tcPr>
          <w:p w:rsidR="00414AE4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Left to Do</w:t>
            </w:r>
          </w:p>
        </w:tc>
        <w:tc>
          <w:tcPr>
            <w:tcW w:w="1239" w:type="dxa"/>
            <w:shd w:val="clear" w:color="auto" w:fill="EAF1DD" w:themeFill="accent3" w:themeFillTint="33"/>
          </w:tcPr>
          <w:p w:rsidR="00414AE4" w:rsidRDefault="00414AE4" w:rsidP="00CF6D3D">
            <w:pPr>
              <w:pStyle w:val="HTML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Tentative Release of Fact Sheet</w:t>
            </w:r>
          </w:p>
        </w:tc>
      </w:tr>
      <w:tr w:rsidR="00414AE4" w:rsidTr="00CF6D3D">
        <w:tc>
          <w:tcPr>
            <w:tcW w:w="1756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46F86">
              <w:rPr>
                <w:rFonts w:ascii="Times New Roman" w:hAnsi="Times New Roman" w:cs="Times New Roman"/>
                <w:sz w:val="24"/>
                <w:szCs w:val="24"/>
              </w:rPr>
              <w:t>Aquatic Habitats</w:t>
            </w:r>
          </w:p>
        </w:tc>
        <w:tc>
          <w:tcPr>
            <w:tcW w:w="1473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three</w:t>
            </w:r>
          </w:p>
        </w:tc>
        <w:tc>
          <w:tcPr>
            <w:tcW w:w="14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collected for all indicators</w:t>
            </w:r>
          </w:p>
        </w:tc>
        <w:tc>
          <w:tcPr>
            <w:tcW w:w="1990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completed for: eelgrass and salt marsh</w:t>
            </w:r>
          </w:p>
        </w:tc>
        <w:tc>
          <w:tcPr>
            <w:tcW w:w="17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tidal barriers completed and fact sheet drafted</w:t>
            </w:r>
          </w:p>
        </w:tc>
        <w:tc>
          <w:tcPr>
            <w:tcW w:w="123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2011</w:t>
            </w:r>
          </w:p>
        </w:tc>
      </w:tr>
      <w:tr w:rsidR="00414AE4" w:rsidTr="00CF6D3D">
        <w:tc>
          <w:tcPr>
            <w:tcW w:w="1756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Coastal Development</w:t>
            </w:r>
          </w:p>
        </w:tc>
        <w:tc>
          <w:tcPr>
            <w:tcW w:w="1473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four</w:t>
            </w:r>
          </w:p>
        </w:tc>
        <w:tc>
          <w:tcPr>
            <w:tcW w:w="14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NOT all collected</w:t>
            </w:r>
          </w:p>
        </w:tc>
        <w:tc>
          <w:tcPr>
            <w:tcW w:w="1990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completed for point sources</w:t>
            </w:r>
          </w:p>
        </w:tc>
        <w:tc>
          <w:tcPr>
            <w:tcW w:w="17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remaining three indicators and fact sheet drafted</w:t>
            </w:r>
          </w:p>
        </w:tc>
        <w:tc>
          <w:tcPr>
            <w:tcW w:w="123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2012</w:t>
            </w:r>
          </w:p>
        </w:tc>
      </w:tr>
      <w:tr w:rsidR="00414AE4" w:rsidTr="00CF6D3D">
        <w:tc>
          <w:tcPr>
            <w:tcW w:w="1756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Contaminants</w:t>
            </w:r>
          </w:p>
        </w:tc>
        <w:tc>
          <w:tcPr>
            <w:tcW w:w="1473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three</w:t>
            </w:r>
          </w:p>
        </w:tc>
        <w:tc>
          <w:tcPr>
            <w:tcW w:w="14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NOT all collected</w:t>
            </w:r>
          </w:p>
        </w:tc>
        <w:tc>
          <w:tcPr>
            <w:tcW w:w="1990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complete for shellfish sanitation and begun for Gulfwatch/Mussel Watch. </w:t>
            </w:r>
          </w:p>
        </w:tc>
        <w:tc>
          <w:tcPr>
            <w:tcW w:w="17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 triad analysis and fact sheet drafted</w:t>
            </w:r>
          </w:p>
        </w:tc>
        <w:tc>
          <w:tcPr>
            <w:tcW w:w="123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2011-2012</w:t>
            </w:r>
          </w:p>
        </w:tc>
      </w:tr>
      <w:tr w:rsidR="00414AE4" w:rsidTr="00CF6D3D">
        <w:tc>
          <w:tcPr>
            <w:tcW w:w="1756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Eutrophication</w:t>
            </w:r>
          </w:p>
        </w:tc>
        <w:tc>
          <w:tcPr>
            <w:tcW w:w="1473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four</w:t>
            </w:r>
          </w:p>
        </w:tc>
        <w:tc>
          <w:tcPr>
            <w:tcW w:w="14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mostly collected</w:t>
            </w:r>
          </w:p>
        </w:tc>
        <w:tc>
          <w:tcPr>
            <w:tcW w:w="1990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completed for loading and dissolved oxygen</w:t>
            </w:r>
          </w:p>
        </w:tc>
        <w:tc>
          <w:tcPr>
            <w:tcW w:w="17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needed for chlorophyll a and secchi/turbidity and fact sheet drafted</w:t>
            </w:r>
          </w:p>
        </w:tc>
        <w:tc>
          <w:tcPr>
            <w:tcW w:w="123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2011</w:t>
            </w:r>
          </w:p>
        </w:tc>
      </w:tr>
      <w:tr w:rsidR="00414AE4" w:rsidTr="00CF6D3D">
        <w:tc>
          <w:tcPr>
            <w:tcW w:w="1756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</w:t>
            </w:r>
          </w:p>
        </w:tc>
        <w:tc>
          <w:tcPr>
            <w:tcW w:w="1473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414AE4" w:rsidRPr="00B46F86" w:rsidRDefault="00414AE4" w:rsidP="00CF6D3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4AE4" w:rsidRDefault="00414AE4" w:rsidP="00414AE4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38EC" w:rsidRPr="000638EC" w:rsidRDefault="000638EC" w:rsidP="000638EC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:rsidR="00480298" w:rsidRDefault="00F9704E" w:rsidP="00480298">
      <w:pPr>
        <w:pStyle w:val="HTMLPreformatted"/>
        <w:ind w:left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60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1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NEIWPCC Abstract</w:t>
      </w:r>
    </w:p>
    <w:p w:rsidR="00F9704E" w:rsidRPr="00F9704E" w:rsidRDefault="00F9704E" w:rsidP="00480298">
      <w:pPr>
        <w:pStyle w:val="HTMLPreformatted"/>
        <w:ind w:left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Christine mentioned that ESIP will be putting together an abstract for inclusion in the NEIWPCC Nonpoint Pollution Meeting (NY: May 2011). Jim Latimer has agreed to help co-author the presentation. Christine thought that the timing would be right to discuss the eutrophication indicators in detail.</w:t>
      </w:r>
    </w:p>
    <w:p w:rsidR="00F9704E" w:rsidRDefault="00F9704E" w:rsidP="00480298">
      <w:pPr>
        <w:pStyle w:val="HTMLPreformatted"/>
        <w:ind w:left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298" w:rsidRPr="00371227" w:rsidRDefault="00480298" w:rsidP="00480298">
      <w:pPr>
        <w:pStyle w:val="HTMLPreformatted"/>
        <w:ind w:left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Call: </w:t>
      </w:r>
      <w:r w:rsidR="00414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 25,</w:t>
      </w:r>
      <w:r w:rsidR="00C61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10:00 AM ET</w:t>
      </w:r>
      <w:r w:rsidR="00F9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to include demo of Indicator Reporting Tool</w:t>
      </w:r>
    </w:p>
    <w:p w:rsidR="00F5020F" w:rsidRPr="00790CBD" w:rsidRDefault="00F5020F" w:rsidP="00480298">
      <w:pPr>
        <w:pStyle w:val="HTMLPreformatted"/>
        <w:rPr>
          <w:b/>
          <w:color w:val="548DD4"/>
        </w:rPr>
      </w:pPr>
    </w:p>
    <w:sectPr w:rsidR="00F5020F" w:rsidRPr="00790CBD" w:rsidSect="0092492D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1C" w:rsidRDefault="003D6F1C">
      <w:r>
        <w:separator/>
      </w:r>
    </w:p>
  </w:endnote>
  <w:endnote w:type="continuationSeparator" w:id="0">
    <w:p w:rsidR="003D6F1C" w:rsidRDefault="003D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C8" w:rsidRDefault="00414AE4">
    <w:pPr>
      <w:pStyle w:val="Footer"/>
      <w:jc w:val="right"/>
      <w:rPr>
        <w:i/>
        <w:sz w:val="20"/>
      </w:rPr>
    </w:pPr>
    <w:r>
      <w:rPr>
        <w:i/>
        <w:sz w:val="20"/>
      </w:rPr>
      <w:t>December 14</w:t>
    </w:r>
    <w:r w:rsidR="00DB60CD">
      <w:rPr>
        <w:i/>
        <w:sz w:val="20"/>
      </w:rPr>
      <w:t>, 2010</w:t>
    </w:r>
  </w:p>
  <w:p w:rsidR="00EC0AC8" w:rsidRDefault="00EC0AC8">
    <w:pPr>
      <w:pStyle w:val="Footer"/>
      <w:jc w:val="right"/>
      <w:rPr>
        <w:i/>
        <w:sz w:val="20"/>
      </w:rPr>
    </w:pPr>
    <w:r>
      <w:rPr>
        <w:i/>
        <w:sz w:val="20"/>
      </w:rPr>
      <w:t>ESIP Steering Committee Summary</w:t>
    </w:r>
  </w:p>
  <w:p w:rsidR="00EC0AC8" w:rsidRDefault="00EC0AC8">
    <w:pPr>
      <w:pStyle w:val="Footer"/>
      <w:jc w:val="right"/>
      <w:rPr>
        <w:i/>
        <w:sz w:val="20"/>
      </w:rPr>
    </w:pPr>
    <w:r>
      <w:rPr>
        <w:i/>
        <w:sz w:val="20"/>
      </w:rPr>
      <w:tab/>
      <w:t xml:space="preserve">Page </w:t>
    </w:r>
    <w:r w:rsidR="009305BE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9305BE">
      <w:rPr>
        <w:i/>
        <w:sz w:val="20"/>
      </w:rPr>
      <w:fldChar w:fldCharType="separate"/>
    </w:r>
    <w:r w:rsidR="00AE1911">
      <w:rPr>
        <w:i/>
        <w:noProof/>
        <w:sz w:val="20"/>
      </w:rPr>
      <w:t>2</w:t>
    </w:r>
    <w:r w:rsidR="009305BE">
      <w:rPr>
        <w:i/>
        <w:sz w:val="20"/>
      </w:rPr>
      <w:fldChar w:fldCharType="end"/>
    </w:r>
    <w:r>
      <w:rPr>
        <w:i/>
        <w:sz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1C" w:rsidRDefault="003D6F1C">
      <w:r>
        <w:separator/>
      </w:r>
    </w:p>
  </w:footnote>
  <w:footnote w:type="continuationSeparator" w:id="0">
    <w:p w:rsidR="003D6F1C" w:rsidRDefault="003D6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B8E"/>
    <w:multiLevelType w:val="hybridMultilevel"/>
    <w:tmpl w:val="CF58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FDF"/>
    <w:multiLevelType w:val="hybridMultilevel"/>
    <w:tmpl w:val="208C0B24"/>
    <w:lvl w:ilvl="0" w:tplc="E3688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FAA6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2829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B485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227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4215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7AF1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5EBC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164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C1AC2"/>
    <w:multiLevelType w:val="hybridMultilevel"/>
    <w:tmpl w:val="917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130C"/>
    <w:multiLevelType w:val="hybridMultilevel"/>
    <w:tmpl w:val="BBBCCC86"/>
    <w:lvl w:ilvl="0" w:tplc="225EB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9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4A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83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8D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8C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EC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2B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27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63579"/>
    <w:multiLevelType w:val="hybridMultilevel"/>
    <w:tmpl w:val="62721172"/>
    <w:lvl w:ilvl="0" w:tplc="90D2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A3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3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4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0D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A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A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CC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E00A4"/>
    <w:multiLevelType w:val="hybridMultilevel"/>
    <w:tmpl w:val="77904650"/>
    <w:lvl w:ilvl="0" w:tplc="1B92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E5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2B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22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CF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67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C3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C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EC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3CA1"/>
    <w:multiLevelType w:val="hybridMultilevel"/>
    <w:tmpl w:val="105A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17FC4"/>
    <w:multiLevelType w:val="hybridMultilevel"/>
    <w:tmpl w:val="952A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0272"/>
    <w:multiLevelType w:val="hybridMultilevel"/>
    <w:tmpl w:val="05DAF68A"/>
    <w:lvl w:ilvl="0" w:tplc="B7828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2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E3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A0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8A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A0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3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4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8127C"/>
    <w:multiLevelType w:val="hybridMultilevel"/>
    <w:tmpl w:val="A3EC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75107"/>
    <w:multiLevelType w:val="hybridMultilevel"/>
    <w:tmpl w:val="DC5EC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6C4B3D"/>
    <w:multiLevelType w:val="hybridMultilevel"/>
    <w:tmpl w:val="3E08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55AD9"/>
    <w:multiLevelType w:val="hybridMultilevel"/>
    <w:tmpl w:val="F26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B7D1D"/>
    <w:multiLevelType w:val="hybridMultilevel"/>
    <w:tmpl w:val="2E76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0869"/>
    <w:multiLevelType w:val="hybridMultilevel"/>
    <w:tmpl w:val="9F667CD6"/>
    <w:lvl w:ilvl="0" w:tplc="80EA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8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6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5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8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04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4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A073D3"/>
    <w:multiLevelType w:val="hybridMultilevel"/>
    <w:tmpl w:val="5A144734"/>
    <w:lvl w:ilvl="0" w:tplc="7F64A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A4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0E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8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05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AE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AC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3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E0D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91A14"/>
    <w:multiLevelType w:val="hybridMultilevel"/>
    <w:tmpl w:val="2E72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3861"/>
    <w:multiLevelType w:val="hybridMultilevel"/>
    <w:tmpl w:val="2FF8AFAA"/>
    <w:lvl w:ilvl="0" w:tplc="1B54A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CD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E7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B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2E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E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6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66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0F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53D02"/>
    <w:multiLevelType w:val="hybridMultilevel"/>
    <w:tmpl w:val="8EC21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86164"/>
    <w:multiLevelType w:val="hybridMultilevel"/>
    <w:tmpl w:val="0EA0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33917"/>
    <w:multiLevelType w:val="hybridMultilevel"/>
    <w:tmpl w:val="E4B8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17"/>
  </w:num>
  <w:num w:numId="6">
    <w:abstractNumId w:val="1"/>
  </w:num>
  <w:num w:numId="7">
    <w:abstractNumId w:val="3"/>
  </w:num>
  <w:num w:numId="8">
    <w:abstractNumId w:val="14"/>
  </w:num>
  <w:num w:numId="9">
    <w:abstractNumId w:val="20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16"/>
  </w:num>
  <w:num w:numId="16">
    <w:abstractNumId w:val="19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DA3"/>
    <w:rsid w:val="000638EC"/>
    <w:rsid w:val="0006739C"/>
    <w:rsid w:val="0008035B"/>
    <w:rsid w:val="00083CB1"/>
    <w:rsid w:val="000A3C75"/>
    <w:rsid w:val="000B368A"/>
    <w:rsid w:val="000D012C"/>
    <w:rsid w:val="001026CF"/>
    <w:rsid w:val="00105397"/>
    <w:rsid w:val="001608F4"/>
    <w:rsid w:val="00180DB1"/>
    <w:rsid w:val="001A13B6"/>
    <w:rsid w:val="001F544E"/>
    <w:rsid w:val="00227121"/>
    <w:rsid w:val="00231328"/>
    <w:rsid w:val="002400F5"/>
    <w:rsid w:val="002555C1"/>
    <w:rsid w:val="00256C80"/>
    <w:rsid w:val="002A2F69"/>
    <w:rsid w:val="002D784D"/>
    <w:rsid w:val="002E4BEB"/>
    <w:rsid w:val="003217E1"/>
    <w:rsid w:val="00350394"/>
    <w:rsid w:val="00361F75"/>
    <w:rsid w:val="0036667A"/>
    <w:rsid w:val="00386E8C"/>
    <w:rsid w:val="003D6F1C"/>
    <w:rsid w:val="003E6E95"/>
    <w:rsid w:val="004142B0"/>
    <w:rsid w:val="00414AE4"/>
    <w:rsid w:val="00436FDF"/>
    <w:rsid w:val="00467C23"/>
    <w:rsid w:val="00472D8D"/>
    <w:rsid w:val="00480298"/>
    <w:rsid w:val="004A368D"/>
    <w:rsid w:val="004A4A37"/>
    <w:rsid w:val="004E2227"/>
    <w:rsid w:val="004E6666"/>
    <w:rsid w:val="004F2026"/>
    <w:rsid w:val="004F6B82"/>
    <w:rsid w:val="005024DF"/>
    <w:rsid w:val="005025B7"/>
    <w:rsid w:val="005026CE"/>
    <w:rsid w:val="005077B3"/>
    <w:rsid w:val="00540469"/>
    <w:rsid w:val="00556F93"/>
    <w:rsid w:val="005A560F"/>
    <w:rsid w:val="005B2821"/>
    <w:rsid w:val="005B7467"/>
    <w:rsid w:val="00640425"/>
    <w:rsid w:val="00644F13"/>
    <w:rsid w:val="00650860"/>
    <w:rsid w:val="00675B6C"/>
    <w:rsid w:val="00683FAF"/>
    <w:rsid w:val="006A6210"/>
    <w:rsid w:val="006C4A46"/>
    <w:rsid w:val="006D501F"/>
    <w:rsid w:val="006E3F3F"/>
    <w:rsid w:val="006E5083"/>
    <w:rsid w:val="007161B8"/>
    <w:rsid w:val="00742ED4"/>
    <w:rsid w:val="0075250D"/>
    <w:rsid w:val="0076225F"/>
    <w:rsid w:val="007834BB"/>
    <w:rsid w:val="0078376C"/>
    <w:rsid w:val="00790CBD"/>
    <w:rsid w:val="007D4EAC"/>
    <w:rsid w:val="007D573F"/>
    <w:rsid w:val="007F7845"/>
    <w:rsid w:val="00800FCD"/>
    <w:rsid w:val="00802B1C"/>
    <w:rsid w:val="00812C61"/>
    <w:rsid w:val="00815EEC"/>
    <w:rsid w:val="00824629"/>
    <w:rsid w:val="00827BD0"/>
    <w:rsid w:val="00837DA3"/>
    <w:rsid w:val="00856BEB"/>
    <w:rsid w:val="00865779"/>
    <w:rsid w:val="00872C4F"/>
    <w:rsid w:val="00885DC5"/>
    <w:rsid w:val="0089231D"/>
    <w:rsid w:val="008D6753"/>
    <w:rsid w:val="0090108C"/>
    <w:rsid w:val="0090506B"/>
    <w:rsid w:val="0092492D"/>
    <w:rsid w:val="009272FB"/>
    <w:rsid w:val="00927729"/>
    <w:rsid w:val="009305BE"/>
    <w:rsid w:val="0095327C"/>
    <w:rsid w:val="009D5667"/>
    <w:rsid w:val="009F559A"/>
    <w:rsid w:val="00A569DB"/>
    <w:rsid w:val="00A75364"/>
    <w:rsid w:val="00AC19D0"/>
    <w:rsid w:val="00AC302E"/>
    <w:rsid w:val="00AE1911"/>
    <w:rsid w:val="00AE1F71"/>
    <w:rsid w:val="00AF65CD"/>
    <w:rsid w:val="00B0793A"/>
    <w:rsid w:val="00B42CF6"/>
    <w:rsid w:val="00BA5A48"/>
    <w:rsid w:val="00BA7A0C"/>
    <w:rsid w:val="00BB11FC"/>
    <w:rsid w:val="00BF5532"/>
    <w:rsid w:val="00C32854"/>
    <w:rsid w:val="00C354BD"/>
    <w:rsid w:val="00C45328"/>
    <w:rsid w:val="00C50742"/>
    <w:rsid w:val="00C5672F"/>
    <w:rsid w:val="00C61610"/>
    <w:rsid w:val="00C7631A"/>
    <w:rsid w:val="00C8522A"/>
    <w:rsid w:val="00C940EF"/>
    <w:rsid w:val="00C95CD1"/>
    <w:rsid w:val="00CC62C2"/>
    <w:rsid w:val="00CE4A21"/>
    <w:rsid w:val="00CF0D1A"/>
    <w:rsid w:val="00CF5204"/>
    <w:rsid w:val="00D03916"/>
    <w:rsid w:val="00D1794B"/>
    <w:rsid w:val="00D3242A"/>
    <w:rsid w:val="00D46154"/>
    <w:rsid w:val="00D60CAC"/>
    <w:rsid w:val="00D76F25"/>
    <w:rsid w:val="00DB05B4"/>
    <w:rsid w:val="00DB60CD"/>
    <w:rsid w:val="00DC0B1F"/>
    <w:rsid w:val="00DC5DBD"/>
    <w:rsid w:val="00DD4915"/>
    <w:rsid w:val="00DE1955"/>
    <w:rsid w:val="00DE3330"/>
    <w:rsid w:val="00E054B5"/>
    <w:rsid w:val="00E20D99"/>
    <w:rsid w:val="00E64431"/>
    <w:rsid w:val="00EC0AC8"/>
    <w:rsid w:val="00EC15C5"/>
    <w:rsid w:val="00ED4415"/>
    <w:rsid w:val="00F10C91"/>
    <w:rsid w:val="00F17DEE"/>
    <w:rsid w:val="00F5020F"/>
    <w:rsid w:val="00F517E1"/>
    <w:rsid w:val="00F71297"/>
    <w:rsid w:val="00F83BB1"/>
    <w:rsid w:val="00F9704E"/>
    <w:rsid w:val="00FA3857"/>
    <w:rsid w:val="00FA3F9A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B55B-6C9E-4C5F-B9FC-E73DD500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ESIP Call – July 25, 2007</vt:lpstr>
    </vt:vector>
  </TitlesOfParts>
  <Company>University of New England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ESIP Call – July 25, 2007</dc:title>
  <dc:subject/>
  <dc:creator>Charles Tilburg</dc:creator>
  <cp:keywords/>
  <dc:description/>
  <cp:lastModifiedBy>Charles Tilburg</cp:lastModifiedBy>
  <cp:revision>5</cp:revision>
  <cp:lastPrinted>2010-08-27T18:13:00Z</cp:lastPrinted>
  <dcterms:created xsi:type="dcterms:W3CDTF">2010-12-14T17:59:00Z</dcterms:created>
  <dcterms:modified xsi:type="dcterms:W3CDTF">2010-12-16T14:41:00Z</dcterms:modified>
</cp:coreProperties>
</file>