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58540" cy="1070610"/>
                    </a:xfrm>
                    <a:prstGeom prst="rect">
                      <a:avLst/>
                    </a:prstGeom>
                  </pic:spPr>
                </pic:pic>
              </a:graphicData>
            </a:graphic>
          </wp:anchor>
        </w:drawing>
      </w:r>
      <w:r w:rsidR="00C244D3" w:rsidRPr="00C244D3">
        <w:rPr>
          <w:rFonts w:ascii="Calibri" w:eastAsia="Times" w:hAnsi="Calibri" w:cs="Calibri"/>
          <w:b/>
          <w:sz w:val="32"/>
          <w:szCs w:val="32"/>
        </w:rPr>
        <w:t>2016</w:t>
      </w:r>
    </w:p>
    <w:p w:rsidR="00C244D3" w:rsidRPr="00C244D3" w:rsidRDefault="002D04C4"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Visionary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2D04C4" w:rsidRPr="002D04C4" w:rsidRDefault="002D04C4" w:rsidP="002D04C4">
      <w:pPr>
        <w:spacing w:after="0" w:line="192" w:lineRule="atLeast"/>
        <w:rPr>
          <w:rFonts w:ascii="Calibri" w:eastAsia="Times New Roman" w:hAnsi="Calibri" w:cs="Calibri"/>
          <w:sz w:val="20"/>
          <w:szCs w:val="20"/>
        </w:rPr>
      </w:pPr>
      <w:r w:rsidRPr="002D04C4">
        <w:rPr>
          <w:rFonts w:ascii="Calibri" w:eastAsia="Times New Roman" w:hAnsi="Calibri" w:cs="Calibri"/>
          <w:sz w:val="20"/>
          <w:szCs w:val="20"/>
        </w:rPr>
        <w:t xml:space="preserve">The Gulf of Maine Visionary Award is presented annually to an individual or organization within each of the five Gulf of Maine jurisdictions of Massachusetts, New Hampshire, Maine, New Brunswick, and Nova Scotia. </w:t>
      </w:r>
      <w:r w:rsidR="00066A63">
        <w:rPr>
          <w:rFonts w:ascii="Calibri" w:eastAsia="Times New Roman" w:hAnsi="Calibri" w:cs="Calibri"/>
          <w:sz w:val="20"/>
          <w:szCs w:val="20"/>
        </w:rPr>
        <w:t xml:space="preserve"> </w:t>
      </w:r>
      <w:r w:rsidRPr="002D04C4">
        <w:rPr>
          <w:rFonts w:ascii="Calibri" w:eastAsia="Times New Roman" w:hAnsi="Calibri" w:cs="Calibri"/>
          <w:sz w:val="20"/>
          <w:szCs w:val="20"/>
        </w:rPr>
        <w:t>The</w:t>
      </w:r>
      <w:r w:rsidR="00066A63">
        <w:rPr>
          <w:rFonts w:ascii="Calibri" w:eastAsia="Times New Roman" w:hAnsi="Calibri" w:cs="Calibri"/>
          <w:sz w:val="20"/>
          <w:szCs w:val="20"/>
        </w:rPr>
        <w:t>se a</w:t>
      </w:r>
      <w:r w:rsidRPr="002D04C4">
        <w:rPr>
          <w:rFonts w:ascii="Calibri" w:eastAsia="Times New Roman" w:hAnsi="Calibri" w:cs="Calibri"/>
          <w:sz w:val="20"/>
          <w:szCs w:val="20"/>
        </w:rPr>
        <w:t xml:space="preserve">wards recognize innovation, creativity, and commitment to marine protection by businesses, environmental organizations, or individuals who are making a difference to the health of the Gulf of Maine.  </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rPr>
        <w:drawing>
          <wp:anchor distT="0" distB="0" distL="114300" distR="114300" simplePos="0" relativeHeight="251660288" behindDoc="1" locked="0" layoutInCell="1" allowOverlap="1">
            <wp:simplePos x="0" y="0"/>
            <wp:positionH relativeFrom="column">
              <wp:posOffset>4564380</wp:posOffset>
            </wp:positionH>
            <wp:positionV relativeFrom="paragraph">
              <wp:posOffset>29210</wp:posOffset>
            </wp:positionV>
            <wp:extent cx="2423160" cy="1927860"/>
            <wp:effectExtent l="0" t="0" r="0" b="0"/>
            <wp:wrapTight wrapText="bothSides">
              <wp:wrapPolygon edited="0">
                <wp:start x="0" y="0"/>
                <wp:lineTo x="0" y="21344"/>
                <wp:lineTo x="21057" y="21344"/>
                <wp:lineTo x="21057" y="0"/>
                <wp:lineTo x="0" y="0"/>
              </wp:wrapPolygon>
            </wp:wrapTight>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9645" r="-3468"/>
                    <a:stretch>
                      <a:fillRect/>
                    </a:stretch>
                  </pic:blipFill>
                  <pic:spPr bwMode="auto">
                    <a:xfrm>
                      <a:off x="0" y="0"/>
                      <a:ext cx="2423160" cy="1927860"/>
                    </a:xfrm>
                    <a:prstGeom prst="rect">
                      <a:avLst/>
                    </a:prstGeom>
                    <a:noFill/>
                    <a:ln>
                      <a:noFill/>
                    </a:ln>
                  </pic:spPr>
                </pic:pic>
              </a:graphicData>
            </a:graphic>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066A63">
        <w:rPr>
          <w:rFonts w:ascii="Calibri" w:eastAsia="Times New Roman" w:hAnsi="Calibri" w:cs="Calibri"/>
          <w:sz w:val="20"/>
          <w:szCs w:val="20"/>
        </w:rPr>
        <w:t>nominee</w:t>
      </w:r>
      <w:r w:rsidRPr="00C619FC">
        <w:rPr>
          <w:rFonts w:ascii="Calibri" w:eastAsia="Times New Roman" w:hAnsi="Calibri" w:cs="Calibri"/>
          <w:sz w:val="20"/>
          <w:szCs w:val="20"/>
        </w:rPr>
        <w:t xml:space="preserve"> must be</w:t>
      </w:r>
      <w:r w:rsidR="00066A63">
        <w:rPr>
          <w:rFonts w:ascii="Calibri" w:eastAsia="Times New Roman" w:hAnsi="Calibri" w:cs="Calibri"/>
          <w:sz w:val="20"/>
          <w:szCs w:val="20"/>
        </w:rPr>
        <w:t xml:space="preserve"> a resident</w:t>
      </w:r>
      <w:r w:rsidRPr="00C619FC">
        <w:rPr>
          <w:rFonts w:ascii="Calibri" w:eastAsia="Times New Roman" w:hAnsi="Calibri" w:cs="Calibri"/>
          <w:sz w:val="20"/>
          <w:szCs w:val="20"/>
        </w:rPr>
        <w:t xml:space="preserve"> </w:t>
      </w:r>
      <w:r w:rsidR="00066A63">
        <w:rPr>
          <w:rFonts w:ascii="Calibri" w:eastAsia="Times New Roman" w:hAnsi="Calibri" w:cs="Calibri"/>
          <w:sz w:val="20"/>
          <w:szCs w:val="20"/>
        </w:rPr>
        <w:t xml:space="preserve">of (or an organization / company based in) </w:t>
      </w:r>
      <w:r w:rsidRPr="00C619FC">
        <w:rPr>
          <w:rFonts w:ascii="Calibri" w:eastAsia="Times New Roman" w:hAnsi="Calibri" w:cs="Calibri"/>
          <w:sz w:val="20"/>
          <w:szCs w:val="20"/>
        </w:rPr>
        <w:t xml:space="preserve">Maine, Massachusetts, New Brunswick, New Hampshire, or Nova Scotia. The nominee’s contributions must have occurred in the Gulf of Maine watershed.  </w:t>
      </w:r>
    </w:p>
    <w:p w:rsidR="002D04C4"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Visionary Award nominees may be paid professionals or volunteers.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9"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F73A9F">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92"/>
      </w:tblGrid>
      <w:tr w:rsidR="0012323F" w:rsidRPr="0012323F" w:rsidTr="00CB61B5">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0"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1"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tblPr>
      <w:tblGrid>
        <w:gridCol w:w="10692"/>
        <w:gridCol w:w="10692"/>
      </w:tblGrid>
      <w:tr w:rsidR="0012323F" w:rsidRPr="0012323F" w:rsidTr="00CB61B5">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7B5B0D">
              <w:rPr>
                <w:rFonts w:ascii="Calibri" w:eastAsia="Times New Roman" w:hAnsi="Calibri" w:cs="Calibri"/>
                <w:b/>
                <w:bCs/>
                <w:sz w:val="20"/>
                <w:szCs w:val="20"/>
                <w:u w:val="single"/>
              </w:rPr>
              <w:t xml:space="preserve"> (REQUIRED)</w:t>
            </w:r>
          </w:p>
          <w:p w:rsidR="0012323F" w:rsidRPr="004621B3"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CB61B5">
              <w:rPr>
                <w:rFonts w:ascii="Calibri" w:eastAsia="Times New Roman" w:hAnsi="Calibri" w:cs="Calibri"/>
                <w:bCs/>
                <w:sz w:val="20"/>
                <w:szCs w:val="20"/>
              </w:rPr>
              <w:t xml:space="preserve"> Glorianna Davenport and </w:t>
            </w:r>
            <w:r w:rsidR="009371E4">
              <w:rPr>
                <w:rFonts w:ascii="Calibri" w:eastAsia="Times New Roman" w:hAnsi="Calibri" w:cs="Calibri"/>
                <w:bCs/>
                <w:sz w:val="20"/>
                <w:szCs w:val="20"/>
              </w:rPr>
              <w:t>Evan Schulman</w:t>
            </w:r>
            <w:r w:rsidR="008059A8">
              <w:rPr>
                <w:rFonts w:ascii="Calibri" w:eastAsia="Times New Roman" w:hAnsi="Calibri" w:cs="Calibri"/>
                <w:bCs/>
                <w:sz w:val="20"/>
                <w:szCs w:val="20"/>
              </w:rPr>
              <w:t xml:space="preserve"> (please consider as one </w:t>
            </w:r>
            <w:r w:rsidR="008059A8" w:rsidRPr="004621B3">
              <w:rPr>
                <w:rFonts w:ascii="Calibri" w:eastAsia="Times New Roman" w:hAnsi="Calibri" w:cs="Calibri"/>
                <w:bCs/>
                <w:sz w:val="20"/>
                <w:szCs w:val="20"/>
              </w:rPr>
              <w:t xml:space="preserve">award for a single </w:t>
            </w:r>
            <w:r w:rsidR="002909E1" w:rsidRPr="004621B3">
              <w:rPr>
                <w:rFonts w:ascii="Calibri" w:eastAsia="Times New Roman" w:hAnsi="Calibri" w:cs="Calibri"/>
                <w:bCs/>
                <w:sz w:val="20"/>
                <w:szCs w:val="20"/>
              </w:rPr>
              <w:t xml:space="preserve">partnership or </w:t>
            </w:r>
            <w:r w:rsidR="008059A8" w:rsidRPr="004621B3">
              <w:rPr>
                <w:rFonts w:ascii="Calibri" w:eastAsia="Times New Roman" w:hAnsi="Calibri" w:cs="Calibri"/>
                <w:bCs/>
                <w:sz w:val="20"/>
                <w:szCs w:val="20"/>
              </w:rPr>
              <w:t>team)</w:t>
            </w:r>
          </w:p>
          <w:p w:rsidR="0012323F" w:rsidRPr="004621B3" w:rsidRDefault="0012323F" w:rsidP="0012323F">
            <w:pPr>
              <w:spacing w:after="0" w:line="192" w:lineRule="atLeast"/>
              <w:rPr>
                <w:rFonts w:ascii="Calibri" w:eastAsia="Times New Roman" w:hAnsi="Calibri" w:cs="Calibri"/>
                <w:bCs/>
                <w:sz w:val="20"/>
                <w:szCs w:val="20"/>
              </w:rPr>
            </w:pPr>
            <w:r w:rsidRPr="004621B3">
              <w:rPr>
                <w:rFonts w:ascii="Calibri" w:eastAsia="Times New Roman" w:hAnsi="Calibri" w:cs="Calibri"/>
                <w:bCs/>
                <w:sz w:val="20"/>
                <w:szCs w:val="20"/>
              </w:rPr>
              <w:t>Mailing address:</w:t>
            </w:r>
            <w:r w:rsidR="004621B3" w:rsidRPr="004621B3">
              <w:rPr>
                <w:rFonts w:ascii="Calibri" w:eastAsia="Times New Roman" w:hAnsi="Calibri" w:cs="Calibri"/>
                <w:bCs/>
                <w:sz w:val="20"/>
                <w:szCs w:val="20"/>
              </w:rPr>
              <w:t xml:space="preserve"> Tidmarsh Farms</w:t>
            </w:r>
            <w:r w:rsidR="004621B3">
              <w:rPr>
                <w:rFonts w:ascii="Calibri" w:eastAsia="Times New Roman" w:hAnsi="Calibri" w:cs="Calibri"/>
                <w:bCs/>
                <w:sz w:val="20"/>
                <w:szCs w:val="20"/>
              </w:rPr>
              <w:t>, Inc.,</w:t>
            </w:r>
            <w:r w:rsidR="004621B3" w:rsidRPr="004621B3">
              <w:rPr>
                <w:rFonts w:ascii="Calibri" w:eastAsia="Times New Roman" w:hAnsi="Calibri" w:cs="Calibri"/>
                <w:bCs/>
                <w:sz w:val="20"/>
                <w:szCs w:val="20"/>
              </w:rPr>
              <w:t xml:space="preserve"> 134 Bartlett Road, Plymouth, MA, 02360</w:t>
            </w:r>
            <w:r w:rsidR="009371E4" w:rsidRPr="004621B3">
              <w:rPr>
                <w:rFonts w:ascii="Calibri" w:eastAsia="Times New Roman" w:hAnsi="Calibri" w:cs="Calibri"/>
                <w:bCs/>
                <w:sz w:val="20"/>
                <w:szCs w:val="20"/>
              </w:rPr>
              <w:t xml:space="preserve"> </w:t>
            </w:r>
          </w:p>
          <w:p w:rsidR="0012323F" w:rsidRPr="004621B3" w:rsidRDefault="0012323F" w:rsidP="0012323F">
            <w:pPr>
              <w:spacing w:after="0" w:line="192" w:lineRule="atLeast"/>
              <w:rPr>
                <w:rFonts w:ascii="Calibri" w:eastAsia="Times New Roman" w:hAnsi="Calibri" w:cs="Calibri"/>
                <w:bCs/>
                <w:sz w:val="20"/>
                <w:szCs w:val="20"/>
              </w:rPr>
            </w:pPr>
            <w:r w:rsidRPr="004621B3">
              <w:rPr>
                <w:rFonts w:ascii="Calibri" w:eastAsia="Times New Roman" w:hAnsi="Calibri" w:cs="Calibri"/>
                <w:bCs/>
                <w:sz w:val="20"/>
                <w:szCs w:val="20"/>
              </w:rPr>
              <w:t xml:space="preserve">Phone: </w:t>
            </w:r>
            <w:r w:rsidR="00F7311B">
              <w:rPr>
                <w:rFonts w:ascii="Calibri" w:eastAsia="Times New Roman" w:hAnsi="Calibri" w:cs="Calibri"/>
                <w:bCs/>
                <w:sz w:val="20"/>
                <w:szCs w:val="20"/>
              </w:rPr>
              <w:t>(</w:t>
            </w:r>
            <w:r w:rsidR="004621B3" w:rsidRPr="004621B3">
              <w:rPr>
                <w:sz w:val="20"/>
                <w:szCs w:val="20"/>
              </w:rPr>
              <w:t>617</w:t>
            </w:r>
            <w:r w:rsidR="00F7311B">
              <w:rPr>
                <w:sz w:val="20"/>
                <w:szCs w:val="20"/>
              </w:rPr>
              <w:t>)</w:t>
            </w:r>
            <w:r w:rsidR="004621B3" w:rsidRPr="004621B3">
              <w:rPr>
                <w:sz w:val="20"/>
                <w:szCs w:val="20"/>
              </w:rPr>
              <w:t xml:space="preserve"> 642 7934</w:t>
            </w:r>
          </w:p>
          <w:p w:rsidR="0012323F" w:rsidRPr="0012323F" w:rsidRDefault="0012323F" w:rsidP="0012323F">
            <w:pPr>
              <w:spacing w:after="0" w:line="192" w:lineRule="atLeast"/>
              <w:rPr>
                <w:rFonts w:ascii="Calibri" w:eastAsia="Times New Roman" w:hAnsi="Calibri" w:cs="Calibri"/>
                <w:sz w:val="24"/>
                <w:szCs w:val="20"/>
              </w:rPr>
            </w:pPr>
            <w:r w:rsidRPr="004621B3">
              <w:rPr>
                <w:rFonts w:ascii="Calibri" w:eastAsia="Times New Roman" w:hAnsi="Calibri" w:cs="Calibri"/>
                <w:bCs/>
                <w:sz w:val="20"/>
                <w:szCs w:val="20"/>
              </w:rPr>
              <w:t>Email:</w:t>
            </w:r>
            <w:r w:rsidRPr="004621B3">
              <w:rPr>
                <w:rFonts w:ascii="Calibri" w:eastAsia="Times New Roman" w:hAnsi="Calibri" w:cs="Calibri"/>
                <w:sz w:val="20"/>
                <w:szCs w:val="20"/>
              </w:rPr>
              <w:t xml:space="preserve"> </w:t>
            </w:r>
            <w:r w:rsidR="004621B3" w:rsidRPr="004621B3">
              <w:rPr>
                <w:rFonts w:ascii="Calibri" w:eastAsia="Times New Roman" w:hAnsi="Calibri" w:cs="Calibri"/>
                <w:sz w:val="20"/>
                <w:szCs w:val="20"/>
              </w:rPr>
              <w:t xml:space="preserve"> gid@media.mit.edu</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CB61B5">
        <w:tc>
          <w:tcPr>
            <w:tcW w:w="10692" w:type="dxa"/>
          </w:tcPr>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7B5B0D">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rsidR="0012323F" w:rsidRPr="002909E1" w:rsidRDefault="008059A8" w:rsidP="002909E1">
            <w:pPr>
              <w:pStyle w:val="BodyText"/>
              <w:jc w:val="both"/>
              <w:rPr>
                <w:rFonts w:asciiTheme="minorHAnsi" w:hAnsiTheme="minorHAnsi"/>
                <w:szCs w:val="24"/>
              </w:rPr>
            </w:pPr>
            <w:r w:rsidRPr="008059A8">
              <w:rPr>
                <w:rFonts w:asciiTheme="minorHAnsi" w:hAnsiTheme="minorHAnsi"/>
                <w:szCs w:val="24"/>
              </w:rPr>
              <w:t>Glorianna Davenport and Ev</w:t>
            </w:r>
            <w:r w:rsidR="00632F05">
              <w:rPr>
                <w:rFonts w:asciiTheme="minorHAnsi" w:hAnsiTheme="minorHAnsi"/>
                <w:szCs w:val="24"/>
              </w:rPr>
              <w:t>a</w:t>
            </w:r>
            <w:r w:rsidRPr="008059A8">
              <w:rPr>
                <w:rFonts w:asciiTheme="minorHAnsi" w:hAnsiTheme="minorHAnsi"/>
                <w:szCs w:val="24"/>
              </w:rPr>
              <w:t xml:space="preserve">n Schulman are owners of </w:t>
            </w:r>
            <w:proofErr w:type="spellStart"/>
            <w:r w:rsidRPr="008059A8">
              <w:rPr>
                <w:rFonts w:asciiTheme="minorHAnsi" w:hAnsiTheme="minorHAnsi"/>
                <w:szCs w:val="24"/>
              </w:rPr>
              <w:t>Tidmarsh</w:t>
            </w:r>
            <w:proofErr w:type="spellEnd"/>
            <w:r w:rsidRPr="008059A8">
              <w:rPr>
                <w:rFonts w:asciiTheme="minorHAnsi" w:hAnsiTheme="minorHAnsi"/>
                <w:szCs w:val="24"/>
              </w:rPr>
              <w:t xml:space="preserve"> Farms, Inc. of Plymouth Massachusetts, which is a former </w:t>
            </w:r>
            <w:r w:rsidR="00F039FD" w:rsidRPr="008059A8">
              <w:rPr>
                <w:rFonts w:asciiTheme="minorHAnsi" w:hAnsiTheme="minorHAnsi"/>
                <w:szCs w:val="24"/>
              </w:rPr>
              <w:t>family</w:t>
            </w:r>
            <w:r w:rsidRPr="008059A8">
              <w:rPr>
                <w:rFonts w:asciiTheme="minorHAnsi" w:hAnsiTheme="minorHAnsi"/>
                <w:szCs w:val="24"/>
              </w:rPr>
              <w:t>-owned</w:t>
            </w:r>
            <w:r w:rsidR="00F039FD" w:rsidRPr="008059A8">
              <w:rPr>
                <w:rFonts w:asciiTheme="minorHAnsi" w:hAnsiTheme="minorHAnsi"/>
                <w:szCs w:val="24"/>
              </w:rPr>
              <w:t xml:space="preserve"> </w:t>
            </w:r>
            <w:r w:rsidRPr="008059A8">
              <w:rPr>
                <w:rFonts w:asciiTheme="minorHAnsi" w:hAnsiTheme="minorHAnsi"/>
                <w:szCs w:val="24"/>
              </w:rPr>
              <w:t xml:space="preserve">cranberry </w:t>
            </w:r>
            <w:r w:rsidR="00F039FD" w:rsidRPr="008059A8">
              <w:rPr>
                <w:rFonts w:asciiTheme="minorHAnsi" w:hAnsiTheme="minorHAnsi"/>
                <w:szCs w:val="24"/>
              </w:rPr>
              <w:t>farm</w:t>
            </w:r>
            <w:r w:rsidR="00D07184">
              <w:rPr>
                <w:rFonts w:asciiTheme="minorHAnsi" w:hAnsiTheme="minorHAnsi"/>
                <w:szCs w:val="24"/>
              </w:rPr>
              <w:t xml:space="preserve"> encompassing approximately 600-</w:t>
            </w:r>
            <w:r w:rsidRPr="008059A8">
              <w:rPr>
                <w:rFonts w:asciiTheme="minorHAnsi" w:hAnsiTheme="minorHAnsi"/>
                <w:szCs w:val="24"/>
              </w:rPr>
              <w:t>acres</w:t>
            </w:r>
            <w:r w:rsidR="00F039FD" w:rsidRPr="008059A8">
              <w:rPr>
                <w:rFonts w:asciiTheme="minorHAnsi" w:hAnsiTheme="minorHAnsi"/>
                <w:szCs w:val="24"/>
              </w:rPr>
              <w:t xml:space="preserve">.  </w:t>
            </w:r>
            <w:r w:rsidRPr="008059A8">
              <w:rPr>
                <w:rFonts w:asciiTheme="minorHAnsi" w:hAnsiTheme="minorHAnsi"/>
                <w:szCs w:val="24"/>
              </w:rPr>
              <w:t xml:space="preserve">In 2010, Glorianna and Evan </w:t>
            </w:r>
            <w:r w:rsidR="00D07184">
              <w:rPr>
                <w:rFonts w:asciiTheme="minorHAnsi" w:hAnsiTheme="minorHAnsi"/>
                <w:szCs w:val="24"/>
              </w:rPr>
              <w:t xml:space="preserve">enrolled </w:t>
            </w:r>
            <w:r w:rsidR="00F039FD" w:rsidRPr="008059A8">
              <w:rPr>
                <w:rFonts w:asciiTheme="minorHAnsi" w:hAnsiTheme="minorHAnsi"/>
                <w:szCs w:val="24"/>
              </w:rPr>
              <w:t>192-acres of the</w:t>
            </w:r>
            <w:r w:rsidRPr="008059A8">
              <w:rPr>
                <w:rFonts w:asciiTheme="minorHAnsi" w:hAnsiTheme="minorHAnsi"/>
                <w:szCs w:val="24"/>
              </w:rPr>
              <w:t xml:space="preserve"> former farm </w:t>
            </w:r>
            <w:r w:rsidR="00D07184">
              <w:rPr>
                <w:rFonts w:asciiTheme="minorHAnsi" w:hAnsiTheme="minorHAnsi"/>
                <w:szCs w:val="24"/>
              </w:rPr>
              <w:t>into a permanent conservation restriction via the USDA Natural Resource Conservation Service.  This decision ultimatel</w:t>
            </w:r>
            <w:r w:rsidR="00D661DA">
              <w:rPr>
                <w:rFonts w:asciiTheme="minorHAnsi" w:hAnsiTheme="minorHAnsi"/>
                <w:szCs w:val="24"/>
              </w:rPr>
              <w:t>y</w:t>
            </w:r>
            <w:r w:rsidR="00D07184">
              <w:rPr>
                <w:rFonts w:asciiTheme="minorHAnsi" w:hAnsiTheme="minorHAnsi"/>
                <w:szCs w:val="24"/>
              </w:rPr>
              <w:t xml:space="preserve"> led to </w:t>
            </w:r>
            <w:r w:rsidR="00D07184" w:rsidRPr="008059A8">
              <w:rPr>
                <w:rFonts w:asciiTheme="minorHAnsi" w:hAnsiTheme="minorHAnsi"/>
                <w:szCs w:val="24"/>
              </w:rPr>
              <w:t>the largest ecological restoration project of its type in the Gulf of Maine</w:t>
            </w:r>
            <w:r w:rsidR="00D07184">
              <w:rPr>
                <w:rFonts w:asciiTheme="minorHAnsi" w:hAnsiTheme="minorHAnsi"/>
                <w:szCs w:val="24"/>
              </w:rPr>
              <w:t xml:space="preserve">.  </w:t>
            </w:r>
            <w:r w:rsidRPr="008059A8">
              <w:rPr>
                <w:rFonts w:asciiTheme="minorHAnsi" w:hAnsiTheme="minorHAnsi"/>
                <w:szCs w:val="24"/>
              </w:rPr>
              <w:t xml:space="preserve"> </w:t>
            </w:r>
            <w:r w:rsidR="00D07184">
              <w:rPr>
                <w:rFonts w:asciiTheme="minorHAnsi" w:hAnsiTheme="minorHAnsi"/>
                <w:szCs w:val="24"/>
              </w:rPr>
              <w:t>P</w:t>
            </w:r>
            <w:r w:rsidRPr="008059A8">
              <w:rPr>
                <w:rFonts w:asciiTheme="minorHAnsi" w:hAnsiTheme="minorHAnsi"/>
                <w:szCs w:val="24"/>
              </w:rPr>
              <w:t>resently</w:t>
            </w:r>
            <w:r w:rsidR="00D07184">
              <w:rPr>
                <w:rFonts w:asciiTheme="minorHAnsi" w:hAnsiTheme="minorHAnsi"/>
                <w:szCs w:val="24"/>
              </w:rPr>
              <w:t>,</w:t>
            </w:r>
            <w:r w:rsidR="00F039FD" w:rsidRPr="008059A8">
              <w:rPr>
                <w:rFonts w:asciiTheme="minorHAnsi" w:hAnsiTheme="minorHAnsi"/>
                <w:szCs w:val="24"/>
              </w:rPr>
              <w:t xml:space="preserve"> 250-acres </w:t>
            </w:r>
            <w:r w:rsidRPr="008059A8">
              <w:rPr>
                <w:rFonts w:asciiTheme="minorHAnsi" w:hAnsiTheme="minorHAnsi"/>
                <w:szCs w:val="24"/>
              </w:rPr>
              <w:t xml:space="preserve">are under transformation </w:t>
            </w:r>
            <w:r w:rsidR="00D07184">
              <w:rPr>
                <w:rFonts w:asciiTheme="minorHAnsi" w:hAnsiTheme="minorHAnsi"/>
                <w:szCs w:val="24"/>
              </w:rPr>
              <w:t>as part of a $2.8 million wetland and stream restoration project.</w:t>
            </w:r>
            <w:r w:rsidRPr="008059A8">
              <w:rPr>
                <w:rFonts w:asciiTheme="minorHAnsi" w:hAnsiTheme="minorHAnsi"/>
                <w:szCs w:val="24"/>
              </w:rPr>
              <w:t xml:space="preserve">  </w:t>
            </w:r>
            <w:r w:rsidR="00F039FD" w:rsidRPr="008059A8">
              <w:rPr>
                <w:rFonts w:asciiTheme="minorHAnsi" w:hAnsiTheme="minorHAnsi"/>
                <w:szCs w:val="24"/>
              </w:rPr>
              <w:t xml:space="preserve">Once </w:t>
            </w:r>
            <w:r w:rsidRPr="008059A8">
              <w:rPr>
                <w:rFonts w:asciiTheme="minorHAnsi" w:hAnsiTheme="minorHAnsi"/>
                <w:szCs w:val="24"/>
              </w:rPr>
              <w:t xml:space="preserve">the restoration is </w:t>
            </w:r>
            <w:r w:rsidR="002909E1">
              <w:rPr>
                <w:rFonts w:asciiTheme="minorHAnsi" w:hAnsiTheme="minorHAnsi"/>
                <w:szCs w:val="24"/>
              </w:rPr>
              <w:t>complete</w:t>
            </w:r>
            <w:r w:rsidR="003E4054">
              <w:rPr>
                <w:rFonts w:asciiTheme="minorHAnsi" w:hAnsiTheme="minorHAnsi"/>
                <w:szCs w:val="24"/>
              </w:rPr>
              <w:t xml:space="preserve"> (June</w:t>
            </w:r>
            <w:r w:rsidRPr="008059A8">
              <w:rPr>
                <w:rFonts w:asciiTheme="minorHAnsi" w:hAnsiTheme="minorHAnsi"/>
                <w:szCs w:val="24"/>
              </w:rPr>
              <w:t xml:space="preserve"> of 2016</w:t>
            </w:r>
            <w:r w:rsidR="00F039FD" w:rsidRPr="008059A8">
              <w:rPr>
                <w:rFonts w:asciiTheme="minorHAnsi" w:hAnsiTheme="minorHAnsi"/>
                <w:szCs w:val="24"/>
              </w:rPr>
              <w:t>,</w:t>
            </w:r>
            <w:r w:rsidR="003E4054">
              <w:rPr>
                <w:rFonts w:asciiTheme="minorHAnsi" w:hAnsiTheme="minorHAnsi"/>
                <w:szCs w:val="24"/>
              </w:rPr>
              <w:t>)</w:t>
            </w:r>
            <w:r w:rsidR="00F039FD" w:rsidRPr="008059A8">
              <w:rPr>
                <w:rFonts w:asciiTheme="minorHAnsi" w:hAnsiTheme="minorHAnsi"/>
                <w:szCs w:val="24"/>
              </w:rPr>
              <w:t xml:space="preserve"> Mass Audubon</w:t>
            </w:r>
            <w:r w:rsidR="003E4054">
              <w:rPr>
                <w:rFonts w:asciiTheme="minorHAnsi" w:hAnsiTheme="minorHAnsi"/>
                <w:szCs w:val="24"/>
              </w:rPr>
              <w:t xml:space="preserve"> has an option to</w:t>
            </w:r>
            <w:r w:rsidRPr="008059A8">
              <w:rPr>
                <w:rFonts w:asciiTheme="minorHAnsi" w:hAnsiTheme="minorHAnsi"/>
                <w:szCs w:val="24"/>
              </w:rPr>
              <w:t xml:space="preserve"> </w:t>
            </w:r>
            <w:r w:rsidR="003E4054">
              <w:rPr>
                <w:rFonts w:asciiTheme="minorHAnsi" w:hAnsiTheme="minorHAnsi"/>
                <w:szCs w:val="24"/>
              </w:rPr>
              <w:t>develop</w:t>
            </w:r>
            <w:r w:rsidRPr="008059A8">
              <w:rPr>
                <w:rFonts w:asciiTheme="minorHAnsi" w:hAnsiTheme="minorHAnsi"/>
                <w:szCs w:val="24"/>
              </w:rPr>
              <w:t xml:space="preserve"> a </w:t>
            </w:r>
            <w:r w:rsidR="003E4054">
              <w:rPr>
                <w:rFonts w:asciiTheme="minorHAnsi" w:hAnsiTheme="minorHAnsi"/>
                <w:szCs w:val="24"/>
              </w:rPr>
              <w:t>wildlife</w:t>
            </w:r>
            <w:r w:rsidRPr="008059A8">
              <w:rPr>
                <w:rFonts w:asciiTheme="minorHAnsi" w:hAnsiTheme="minorHAnsi"/>
                <w:szCs w:val="24"/>
              </w:rPr>
              <w:t xml:space="preserve"> s</w:t>
            </w:r>
            <w:r w:rsidR="003E4054">
              <w:rPr>
                <w:rFonts w:asciiTheme="minorHAnsi" w:hAnsiTheme="minorHAnsi"/>
                <w:szCs w:val="24"/>
              </w:rPr>
              <w:t>anctuary on the property</w:t>
            </w:r>
            <w:r w:rsidR="00F039FD" w:rsidRPr="008059A8">
              <w:rPr>
                <w:rFonts w:asciiTheme="minorHAnsi" w:hAnsiTheme="minorHAnsi"/>
                <w:szCs w:val="24"/>
              </w:rPr>
              <w:t xml:space="preserve">, and ensure on-going </w:t>
            </w:r>
            <w:r w:rsidR="003E4054">
              <w:rPr>
                <w:rFonts w:asciiTheme="minorHAnsi" w:hAnsiTheme="minorHAnsi"/>
                <w:szCs w:val="24"/>
              </w:rPr>
              <w:t>public access</w:t>
            </w:r>
            <w:r w:rsidR="00F039FD" w:rsidRPr="008059A8">
              <w:rPr>
                <w:rFonts w:asciiTheme="minorHAnsi" w:hAnsiTheme="minorHAnsi"/>
                <w:szCs w:val="24"/>
              </w:rPr>
              <w:t xml:space="preserve"> and protection</w:t>
            </w:r>
            <w:r w:rsidR="004659C2">
              <w:rPr>
                <w:rFonts w:asciiTheme="minorHAnsi" w:hAnsiTheme="minorHAnsi"/>
                <w:szCs w:val="24"/>
              </w:rPr>
              <w:t xml:space="preserve"> in perpetuity</w:t>
            </w:r>
            <w:r w:rsidR="00F039FD" w:rsidRPr="008059A8">
              <w:rPr>
                <w:rFonts w:asciiTheme="minorHAnsi" w:hAnsiTheme="minorHAnsi"/>
                <w:szCs w:val="24"/>
              </w:rPr>
              <w:t xml:space="preserve">.  </w:t>
            </w:r>
            <w:r w:rsidR="004659C2">
              <w:rPr>
                <w:rFonts w:asciiTheme="minorHAnsi" w:hAnsiTheme="minorHAnsi"/>
                <w:szCs w:val="24"/>
              </w:rPr>
              <w:t>In addition</w:t>
            </w:r>
            <w:r w:rsidR="00671660">
              <w:rPr>
                <w:rFonts w:asciiTheme="minorHAnsi" w:hAnsiTheme="minorHAnsi"/>
                <w:szCs w:val="24"/>
              </w:rPr>
              <w:t>,</w:t>
            </w:r>
            <w:r w:rsidR="004659C2">
              <w:rPr>
                <w:rFonts w:asciiTheme="minorHAnsi" w:hAnsiTheme="minorHAnsi"/>
                <w:szCs w:val="24"/>
              </w:rPr>
              <w:t xml:space="preserve"> Glorianna </w:t>
            </w:r>
            <w:r w:rsidR="00D07184">
              <w:rPr>
                <w:rFonts w:asciiTheme="minorHAnsi" w:hAnsiTheme="minorHAnsi"/>
                <w:szCs w:val="24"/>
              </w:rPr>
              <w:t>has led the creation of</w:t>
            </w:r>
            <w:r w:rsidR="004659C2">
              <w:rPr>
                <w:rFonts w:asciiTheme="minorHAnsi" w:hAnsiTheme="minorHAnsi"/>
                <w:szCs w:val="24"/>
              </w:rPr>
              <w:t xml:space="preserve"> </w:t>
            </w:r>
            <w:r w:rsidR="00D07184">
              <w:rPr>
                <w:rFonts w:asciiTheme="minorHAnsi" w:hAnsiTheme="minorHAnsi"/>
                <w:szCs w:val="24"/>
              </w:rPr>
              <w:t>L</w:t>
            </w:r>
            <w:r w:rsidR="004659C2">
              <w:rPr>
                <w:rFonts w:asciiTheme="minorHAnsi" w:hAnsiTheme="minorHAnsi"/>
                <w:szCs w:val="24"/>
              </w:rPr>
              <w:t xml:space="preserve">iving </w:t>
            </w:r>
            <w:r w:rsidR="00D07184">
              <w:rPr>
                <w:rFonts w:asciiTheme="minorHAnsi" w:hAnsiTheme="minorHAnsi"/>
                <w:szCs w:val="24"/>
              </w:rPr>
              <w:t>O</w:t>
            </w:r>
            <w:r w:rsidR="004659C2">
              <w:rPr>
                <w:rFonts w:asciiTheme="minorHAnsi" w:hAnsiTheme="minorHAnsi"/>
                <w:szCs w:val="24"/>
              </w:rPr>
              <w:t>bservatory at the site</w:t>
            </w:r>
            <w:r w:rsidR="00D07184">
              <w:rPr>
                <w:rFonts w:asciiTheme="minorHAnsi" w:hAnsiTheme="minorHAnsi"/>
                <w:szCs w:val="24"/>
              </w:rPr>
              <w:t xml:space="preserve"> (see</w:t>
            </w:r>
            <w:r w:rsidR="00F7311B">
              <w:rPr>
                <w:rFonts w:asciiTheme="minorHAnsi" w:hAnsiTheme="minorHAnsi"/>
                <w:szCs w:val="24"/>
              </w:rPr>
              <w:t>:</w:t>
            </w:r>
            <w:r w:rsidR="00D07184">
              <w:rPr>
                <w:rFonts w:asciiTheme="minorHAnsi" w:hAnsiTheme="minorHAnsi"/>
                <w:szCs w:val="24"/>
              </w:rPr>
              <w:t xml:space="preserve"> </w:t>
            </w:r>
            <w:hyperlink r:id="rId12" w:history="1">
              <w:r w:rsidR="00D07184" w:rsidRPr="00B86850">
                <w:rPr>
                  <w:rStyle w:val="Hyperlink"/>
                  <w:rFonts w:asciiTheme="minorHAnsi" w:hAnsiTheme="minorHAnsi"/>
                  <w:szCs w:val="24"/>
                </w:rPr>
                <w:t>http://tidmarsh.media.mit.edu/</w:t>
              </w:r>
            </w:hyperlink>
            <w:r w:rsidR="00D07184">
              <w:rPr>
                <w:rFonts w:asciiTheme="minorHAnsi" w:hAnsiTheme="minorHAnsi"/>
                <w:szCs w:val="24"/>
              </w:rPr>
              <w:t>)</w:t>
            </w:r>
            <w:r w:rsidR="00671660">
              <w:rPr>
                <w:rFonts w:asciiTheme="minorHAnsi" w:hAnsiTheme="minorHAnsi"/>
                <w:szCs w:val="24"/>
              </w:rPr>
              <w:t xml:space="preserve">. </w:t>
            </w:r>
            <w:r w:rsidR="00D07184">
              <w:rPr>
                <w:rFonts w:asciiTheme="minorHAnsi" w:hAnsiTheme="minorHAnsi"/>
                <w:szCs w:val="24"/>
              </w:rPr>
              <w:t xml:space="preserve"> </w:t>
            </w:r>
            <w:r w:rsidR="00671660">
              <w:rPr>
                <w:rFonts w:asciiTheme="minorHAnsi" w:hAnsiTheme="minorHAnsi"/>
                <w:szCs w:val="24"/>
              </w:rPr>
              <w:t xml:space="preserve">Dozens </w:t>
            </w:r>
            <w:r w:rsidR="004659C2">
              <w:rPr>
                <w:rFonts w:asciiTheme="minorHAnsi" w:hAnsiTheme="minorHAnsi"/>
                <w:szCs w:val="24"/>
              </w:rPr>
              <w:t xml:space="preserve">of academic and NGO partners </w:t>
            </w:r>
            <w:r w:rsidR="00671660">
              <w:rPr>
                <w:rFonts w:asciiTheme="minorHAnsi" w:hAnsiTheme="minorHAnsi"/>
                <w:szCs w:val="24"/>
              </w:rPr>
              <w:t>are</w:t>
            </w:r>
            <w:r w:rsidR="004659C2">
              <w:rPr>
                <w:rFonts w:asciiTheme="minorHAnsi" w:hAnsiTheme="minorHAnsi"/>
                <w:szCs w:val="24"/>
              </w:rPr>
              <w:t xml:space="preserve"> monitor</w:t>
            </w:r>
            <w:r w:rsidR="00671660">
              <w:rPr>
                <w:rFonts w:asciiTheme="minorHAnsi" w:hAnsiTheme="minorHAnsi"/>
                <w:szCs w:val="24"/>
              </w:rPr>
              <w:t>ing</w:t>
            </w:r>
            <w:r w:rsidR="004659C2">
              <w:rPr>
                <w:rFonts w:asciiTheme="minorHAnsi" w:hAnsiTheme="minorHAnsi"/>
                <w:szCs w:val="24"/>
              </w:rPr>
              <w:t xml:space="preserve"> and interpret</w:t>
            </w:r>
            <w:r w:rsidR="00671660">
              <w:rPr>
                <w:rFonts w:asciiTheme="minorHAnsi" w:hAnsiTheme="minorHAnsi"/>
                <w:szCs w:val="24"/>
              </w:rPr>
              <w:t>ing</w:t>
            </w:r>
            <w:r w:rsidR="004659C2">
              <w:rPr>
                <w:rFonts w:asciiTheme="minorHAnsi" w:hAnsiTheme="minorHAnsi"/>
                <w:szCs w:val="24"/>
              </w:rPr>
              <w:t xml:space="preserve"> the transformational changes </w:t>
            </w:r>
            <w:r w:rsidR="003E4054">
              <w:rPr>
                <w:rFonts w:asciiTheme="minorHAnsi" w:hAnsiTheme="minorHAnsi"/>
                <w:szCs w:val="24"/>
              </w:rPr>
              <w:t>at Tidmarsh</w:t>
            </w:r>
            <w:r w:rsidR="00D07184">
              <w:rPr>
                <w:rFonts w:asciiTheme="minorHAnsi" w:hAnsiTheme="minorHAnsi"/>
                <w:szCs w:val="24"/>
              </w:rPr>
              <w:t>, and exploring new ways of bringing nature to students and the public</w:t>
            </w:r>
            <w:r w:rsidR="004659C2">
              <w:rPr>
                <w:rFonts w:asciiTheme="minorHAnsi" w:hAnsiTheme="minorHAnsi"/>
                <w:szCs w:val="24"/>
              </w:rPr>
              <w:t>.</w:t>
            </w:r>
            <w:r w:rsidR="00F039FD" w:rsidRPr="008059A8">
              <w:rPr>
                <w:rFonts w:asciiTheme="minorHAnsi" w:hAnsiTheme="minorHAnsi"/>
                <w:szCs w:val="24"/>
              </w:rPr>
              <w:t xml:space="preserve"> </w:t>
            </w:r>
            <w:r w:rsidRPr="008059A8">
              <w:rPr>
                <w:rFonts w:asciiTheme="minorHAnsi" w:hAnsiTheme="minorHAnsi"/>
                <w:szCs w:val="24"/>
              </w:rPr>
              <w:t xml:space="preserve"> </w:t>
            </w:r>
          </w:p>
          <w:p w:rsidR="00C619FC" w:rsidRPr="0012323F" w:rsidRDefault="00C619FC" w:rsidP="0012323F">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CB61B5">
        <w:tc>
          <w:tcPr>
            <w:tcW w:w="10692" w:type="dxa"/>
          </w:tcPr>
          <w:p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Summary that will be read during the awards ceremony if nominee is selected. This text will also be used in media releases (not to exceed 2,000 characters, including spaces and punctuation</w:t>
            </w:r>
            <w:r w:rsidR="007B5B0D">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A935AE" w:rsidRPr="00B81198" w:rsidRDefault="00A935AE" w:rsidP="0018786B">
            <w:pPr>
              <w:jc w:val="both"/>
              <w:rPr>
                <w:sz w:val="24"/>
                <w:szCs w:val="24"/>
              </w:rPr>
            </w:pPr>
            <w:r w:rsidRPr="00B81198">
              <w:rPr>
                <w:sz w:val="24"/>
                <w:szCs w:val="24"/>
              </w:rPr>
              <w:t>The</w:t>
            </w:r>
            <w:r w:rsidR="00B81198" w:rsidRPr="00B81198">
              <w:rPr>
                <w:sz w:val="24"/>
                <w:szCs w:val="24"/>
              </w:rPr>
              <w:t xml:space="preserve"> </w:t>
            </w:r>
            <w:proofErr w:type="spellStart"/>
            <w:r w:rsidR="00B81198" w:rsidRPr="00B81198">
              <w:rPr>
                <w:sz w:val="24"/>
                <w:szCs w:val="24"/>
              </w:rPr>
              <w:t>Tidmarsh</w:t>
            </w:r>
            <w:proofErr w:type="spellEnd"/>
            <w:r w:rsidR="00B81198" w:rsidRPr="00B81198">
              <w:rPr>
                <w:sz w:val="24"/>
                <w:szCs w:val="24"/>
              </w:rPr>
              <w:t xml:space="preserve"> Restorat</w:t>
            </w:r>
            <w:r w:rsidR="00E80B8F">
              <w:rPr>
                <w:sz w:val="24"/>
                <w:szCs w:val="24"/>
              </w:rPr>
              <w:t xml:space="preserve">ion Project </w:t>
            </w:r>
            <w:r w:rsidR="00B81198" w:rsidRPr="00B81198">
              <w:rPr>
                <w:sz w:val="24"/>
                <w:szCs w:val="24"/>
              </w:rPr>
              <w:t>involves</w:t>
            </w:r>
            <w:r w:rsidRPr="00B81198">
              <w:rPr>
                <w:sz w:val="24"/>
                <w:szCs w:val="24"/>
              </w:rPr>
              <w:t xml:space="preserve"> comprehensive ecological restoration</w:t>
            </w:r>
            <w:r w:rsidR="00E80B8F">
              <w:rPr>
                <w:sz w:val="24"/>
                <w:szCs w:val="24"/>
              </w:rPr>
              <w:t xml:space="preserve"> across</w:t>
            </w:r>
            <w:r w:rsidR="0018786B">
              <w:rPr>
                <w:sz w:val="24"/>
                <w:szCs w:val="24"/>
              </w:rPr>
              <w:t xml:space="preserve"> 250-acres of </w:t>
            </w:r>
            <w:r w:rsidR="00275DA7">
              <w:rPr>
                <w:sz w:val="24"/>
                <w:szCs w:val="24"/>
              </w:rPr>
              <w:t>retired cranberry bogs</w:t>
            </w:r>
            <w:r w:rsidRPr="00B81198">
              <w:rPr>
                <w:sz w:val="24"/>
                <w:szCs w:val="24"/>
              </w:rPr>
              <w:t xml:space="preserve"> and supporting lands in </w:t>
            </w:r>
            <w:r w:rsidR="00E80B8F">
              <w:rPr>
                <w:sz w:val="24"/>
                <w:szCs w:val="24"/>
              </w:rPr>
              <w:t>Plymouth</w:t>
            </w:r>
            <w:r w:rsidRPr="00B81198">
              <w:rPr>
                <w:sz w:val="24"/>
                <w:szCs w:val="24"/>
              </w:rPr>
              <w:t xml:space="preserve"> Massachusetts.  The </w:t>
            </w:r>
            <w:r w:rsidR="00F7311B">
              <w:rPr>
                <w:sz w:val="24"/>
                <w:szCs w:val="24"/>
              </w:rPr>
              <w:t>project area</w:t>
            </w:r>
            <w:r w:rsidRPr="00B81198">
              <w:rPr>
                <w:sz w:val="24"/>
                <w:szCs w:val="24"/>
              </w:rPr>
              <w:t xml:space="preserve"> consists of 202-acres of </w:t>
            </w:r>
            <w:r w:rsidR="00B81198" w:rsidRPr="00B81198">
              <w:rPr>
                <w:sz w:val="24"/>
                <w:szCs w:val="24"/>
              </w:rPr>
              <w:t>coastal</w:t>
            </w:r>
            <w:r w:rsidRPr="00B81198">
              <w:rPr>
                <w:sz w:val="24"/>
                <w:szCs w:val="24"/>
              </w:rPr>
              <w:t xml:space="preserve"> wetland</w:t>
            </w:r>
            <w:r w:rsidR="00B81198" w:rsidRPr="00B81198">
              <w:rPr>
                <w:sz w:val="24"/>
                <w:szCs w:val="24"/>
              </w:rPr>
              <w:t>s</w:t>
            </w:r>
            <w:r w:rsidRPr="00B81198">
              <w:rPr>
                <w:b/>
                <w:sz w:val="24"/>
                <w:szCs w:val="24"/>
              </w:rPr>
              <w:t xml:space="preserve"> </w:t>
            </w:r>
            <w:r w:rsidR="00E80B8F" w:rsidRPr="00B81198">
              <w:rPr>
                <w:sz w:val="24"/>
                <w:szCs w:val="24"/>
              </w:rPr>
              <w:t>and</w:t>
            </w:r>
            <w:r w:rsidR="00E80B8F">
              <w:rPr>
                <w:sz w:val="24"/>
                <w:szCs w:val="24"/>
              </w:rPr>
              <w:t xml:space="preserve"> </w:t>
            </w:r>
            <w:r w:rsidR="00E80B8F" w:rsidRPr="00B81198">
              <w:rPr>
                <w:sz w:val="24"/>
                <w:szCs w:val="24"/>
              </w:rPr>
              <w:t>48</w:t>
            </w:r>
            <w:r w:rsidRPr="00B81198">
              <w:rPr>
                <w:sz w:val="24"/>
                <w:szCs w:val="24"/>
              </w:rPr>
              <w:t xml:space="preserve">-acres </w:t>
            </w:r>
            <w:r w:rsidR="00E80B8F">
              <w:rPr>
                <w:sz w:val="24"/>
                <w:szCs w:val="24"/>
              </w:rPr>
              <w:t xml:space="preserve">of </w:t>
            </w:r>
            <w:r w:rsidR="00275DA7">
              <w:rPr>
                <w:sz w:val="24"/>
                <w:szCs w:val="24"/>
              </w:rPr>
              <w:t xml:space="preserve">adjacent upland.  </w:t>
            </w:r>
            <w:r w:rsidR="00B86850">
              <w:rPr>
                <w:sz w:val="24"/>
                <w:szCs w:val="24"/>
              </w:rPr>
              <w:t xml:space="preserve">The site makes up a significant portion of the The Beaver Dam Brook watershed, and benefits include improved water quality, increased biodiversity, and reduction of contaminated sediments.    </w:t>
            </w:r>
          </w:p>
          <w:p w:rsidR="00A935AE" w:rsidRPr="00B81198" w:rsidRDefault="00A935AE" w:rsidP="0018786B">
            <w:pPr>
              <w:jc w:val="both"/>
              <w:rPr>
                <w:sz w:val="24"/>
                <w:szCs w:val="24"/>
              </w:rPr>
            </w:pPr>
            <w:r w:rsidRPr="00B81198">
              <w:rPr>
                <w:sz w:val="24"/>
                <w:szCs w:val="24"/>
              </w:rPr>
              <w:t>The project is the largest coastal freshwater wetl</w:t>
            </w:r>
            <w:r w:rsidR="0018786B">
              <w:rPr>
                <w:sz w:val="24"/>
                <w:szCs w:val="24"/>
              </w:rPr>
              <w:t>ands restoration effort</w:t>
            </w:r>
            <w:r w:rsidR="00275DA7">
              <w:rPr>
                <w:sz w:val="24"/>
                <w:szCs w:val="24"/>
              </w:rPr>
              <w:t xml:space="preserve"> to date</w:t>
            </w:r>
            <w:r w:rsidR="0018786B">
              <w:rPr>
                <w:sz w:val="24"/>
                <w:szCs w:val="24"/>
              </w:rPr>
              <w:t xml:space="preserve"> </w:t>
            </w:r>
            <w:r w:rsidRPr="00B81198">
              <w:rPr>
                <w:sz w:val="24"/>
                <w:szCs w:val="24"/>
              </w:rPr>
              <w:t xml:space="preserve">in Massachusetts, and is </w:t>
            </w:r>
            <w:r w:rsidR="0018786B">
              <w:rPr>
                <w:sz w:val="24"/>
                <w:szCs w:val="24"/>
              </w:rPr>
              <w:t xml:space="preserve">supported by </w:t>
            </w:r>
            <w:r w:rsidRPr="00B81198">
              <w:rPr>
                <w:sz w:val="24"/>
                <w:szCs w:val="24"/>
              </w:rPr>
              <w:t>Massachusetts Division of Ecological Restoration</w:t>
            </w:r>
            <w:r w:rsidR="00B81198">
              <w:rPr>
                <w:sz w:val="24"/>
                <w:szCs w:val="24"/>
              </w:rPr>
              <w:t xml:space="preserve"> (DER)</w:t>
            </w:r>
            <w:r w:rsidRPr="00B81198">
              <w:rPr>
                <w:sz w:val="24"/>
                <w:szCs w:val="24"/>
              </w:rPr>
              <w:t xml:space="preserve">.  </w:t>
            </w:r>
            <w:r w:rsidR="00E80B8F">
              <w:rPr>
                <w:sz w:val="24"/>
                <w:szCs w:val="24"/>
              </w:rPr>
              <w:t>There are</w:t>
            </w:r>
            <w:r w:rsidRPr="00B81198">
              <w:rPr>
                <w:sz w:val="24"/>
                <w:szCs w:val="24"/>
              </w:rPr>
              <w:t xml:space="preserve"> 20 partnerin</w:t>
            </w:r>
            <w:r w:rsidR="00B81198" w:rsidRPr="00B81198">
              <w:rPr>
                <w:sz w:val="24"/>
                <w:szCs w:val="24"/>
              </w:rPr>
              <w:t>g organizations</w:t>
            </w:r>
            <w:r w:rsidR="00E80B8F">
              <w:rPr>
                <w:sz w:val="24"/>
                <w:szCs w:val="24"/>
              </w:rPr>
              <w:t xml:space="preserve"> involved</w:t>
            </w:r>
            <w:r w:rsidRPr="00B81198">
              <w:rPr>
                <w:sz w:val="24"/>
                <w:szCs w:val="24"/>
              </w:rPr>
              <w:t>,</w:t>
            </w:r>
            <w:r w:rsidR="00B81198" w:rsidRPr="00B81198">
              <w:rPr>
                <w:sz w:val="24"/>
                <w:szCs w:val="24"/>
              </w:rPr>
              <w:t xml:space="preserve"> including </w:t>
            </w:r>
            <w:r w:rsidR="00D661DA">
              <w:rPr>
                <w:sz w:val="24"/>
                <w:szCs w:val="24"/>
              </w:rPr>
              <w:t>Massachusetts Bays National Estuary Program</w:t>
            </w:r>
            <w:r w:rsidR="00B81198" w:rsidRPr="00B81198">
              <w:rPr>
                <w:sz w:val="24"/>
                <w:szCs w:val="24"/>
              </w:rPr>
              <w:t>,</w:t>
            </w:r>
            <w:r w:rsidRPr="00B81198">
              <w:rPr>
                <w:sz w:val="24"/>
                <w:szCs w:val="24"/>
              </w:rPr>
              <w:t xml:space="preserve"> and </w:t>
            </w:r>
            <w:r w:rsidR="00F7311B">
              <w:rPr>
                <w:sz w:val="24"/>
                <w:szCs w:val="24"/>
              </w:rPr>
              <w:t xml:space="preserve">the restoration includes </w:t>
            </w:r>
            <w:r w:rsidRPr="00B81198">
              <w:rPr>
                <w:color w:val="3366FF"/>
                <w:sz w:val="24"/>
                <w:szCs w:val="24"/>
              </w:rPr>
              <w:t xml:space="preserve"> </w:t>
            </w:r>
            <w:r w:rsidR="00E80B8F">
              <w:rPr>
                <w:sz w:val="24"/>
                <w:szCs w:val="24"/>
              </w:rPr>
              <w:t>a cutting-</w:t>
            </w:r>
            <w:r w:rsidR="0018786B">
              <w:rPr>
                <w:sz w:val="24"/>
                <w:szCs w:val="24"/>
              </w:rPr>
              <w:t xml:space="preserve">edge, </w:t>
            </w:r>
            <w:r w:rsidRPr="00B81198">
              <w:rPr>
                <w:sz w:val="24"/>
                <w:szCs w:val="24"/>
              </w:rPr>
              <w:t>monitoring and educational component (</w:t>
            </w:r>
            <w:r w:rsidR="003E4054">
              <w:rPr>
                <w:sz w:val="24"/>
                <w:szCs w:val="24"/>
              </w:rPr>
              <w:t xml:space="preserve">called the </w:t>
            </w:r>
            <w:r w:rsidRPr="00B81198">
              <w:rPr>
                <w:sz w:val="24"/>
                <w:szCs w:val="24"/>
              </w:rPr>
              <w:t xml:space="preserve">Living Observatory) led by </w:t>
            </w:r>
            <w:r w:rsidR="00B81198" w:rsidRPr="00B81198">
              <w:rPr>
                <w:sz w:val="24"/>
                <w:szCs w:val="24"/>
              </w:rPr>
              <w:t>Evan and Glorianna</w:t>
            </w:r>
            <w:r w:rsidR="003E4054">
              <w:rPr>
                <w:sz w:val="24"/>
                <w:szCs w:val="24"/>
              </w:rPr>
              <w:t>. Living Observatory partners include</w:t>
            </w:r>
            <w:r w:rsidR="0018786B">
              <w:rPr>
                <w:sz w:val="24"/>
                <w:szCs w:val="24"/>
              </w:rPr>
              <w:t xml:space="preserve"> </w:t>
            </w:r>
            <w:r w:rsidRPr="00B81198">
              <w:rPr>
                <w:sz w:val="24"/>
                <w:szCs w:val="24"/>
              </w:rPr>
              <w:t>Massachusetts Institute of</w:t>
            </w:r>
            <w:r w:rsidR="00B86850">
              <w:rPr>
                <w:sz w:val="24"/>
                <w:szCs w:val="24"/>
              </w:rPr>
              <w:t xml:space="preserve"> Technology </w:t>
            </w:r>
            <w:r w:rsidRPr="00B81198">
              <w:rPr>
                <w:sz w:val="24"/>
                <w:szCs w:val="24"/>
              </w:rPr>
              <w:t xml:space="preserve">and </w:t>
            </w:r>
            <w:r w:rsidR="0018786B">
              <w:rPr>
                <w:sz w:val="24"/>
                <w:szCs w:val="24"/>
              </w:rPr>
              <w:t xml:space="preserve">many </w:t>
            </w:r>
            <w:r w:rsidRPr="00B81198">
              <w:rPr>
                <w:sz w:val="24"/>
                <w:szCs w:val="24"/>
              </w:rPr>
              <w:t xml:space="preserve">other organizations.  The </w:t>
            </w:r>
            <w:r w:rsidR="00B81198">
              <w:rPr>
                <w:sz w:val="24"/>
                <w:szCs w:val="24"/>
              </w:rPr>
              <w:t>design</w:t>
            </w:r>
            <w:r w:rsidR="00E80B8F">
              <w:rPr>
                <w:sz w:val="24"/>
                <w:szCs w:val="24"/>
              </w:rPr>
              <w:t xml:space="preserve"> and </w:t>
            </w:r>
            <w:r w:rsidR="0018786B">
              <w:rPr>
                <w:sz w:val="24"/>
                <w:szCs w:val="24"/>
              </w:rPr>
              <w:t xml:space="preserve">construction </w:t>
            </w:r>
            <w:r w:rsidR="0018786B" w:rsidRPr="00B81198">
              <w:rPr>
                <w:sz w:val="24"/>
                <w:szCs w:val="24"/>
              </w:rPr>
              <w:t>phases, led by DER, were</w:t>
            </w:r>
            <w:r w:rsidRPr="00B81198">
              <w:rPr>
                <w:sz w:val="24"/>
                <w:szCs w:val="24"/>
              </w:rPr>
              <w:t xml:space="preserve"> funded </w:t>
            </w:r>
            <w:r w:rsidR="00D661DA">
              <w:rPr>
                <w:sz w:val="24"/>
                <w:szCs w:val="24"/>
              </w:rPr>
              <w:t>by</w:t>
            </w:r>
            <w:r w:rsidR="00D661DA" w:rsidRPr="00B81198">
              <w:rPr>
                <w:sz w:val="24"/>
                <w:szCs w:val="24"/>
              </w:rPr>
              <w:t xml:space="preserve"> </w:t>
            </w:r>
            <w:r w:rsidR="0018786B">
              <w:rPr>
                <w:sz w:val="24"/>
                <w:szCs w:val="24"/>
              </w:rPr>
              <w:t xml:space="preserve">NOAA, American Rivers, </w:t>
            </w:r>
            <w:r w:rsidRPr="00B81198">
              <w:rPr>
                <w:sz w:val="24"/>
                <w:szCs w:val="24"/>
              </w:rPr>
              <w:t>Gulf of Maine Council</w:t>
            </w:r>
            <w:r w:rsidR="0018786B">
              <w:rPr>
                <w:sz w:val="24"/>
                <w:szCs w:val="24"/>
              </w:rPr>
              <w:t xml:space="preserve"> on the Marine Environment, </w:t>
            </w:r>
            <w:r w:rsidR="00B86850">
              <w:rPr>
                <w:sz w:val="24"/>
                <w:szCs w:val="24"/>
              </w:rPr>
              <w:t xml:space="preserve">Mass Environmental Trust, </w:t>
            </w:r>
            <w:r w:rsidR="0018786B">
              <w:rPr>
                <w:sz w:val="24"/>
                <w:szCs w:val="24"/>
              </w:rPr>
              <w:t xml:space="preserve">and </w:t>
            </w:r>
            <w:r w:rsidRPr="00B81198">
              <w:rPr>
                <w:sz w:val="24"/>
                <w:szCs w:val="24"/>
              </w:rPr>
              <w:t>U.S. Fi</w:t>
            </w:r>
            <w:r w:rsidR="00B86850">
              <w:rPr>
                <w:sz w:val="24"/>
                <w:szCs w:val="24"/>
              </w:rPr>
              <w:t>sh and Wildlife Service (</w:t>
            </w:r>
            <w:r w:rsidRPr="00B81198">
              <w:rPr>
                <w:sz w:val="24"/>
                <w:szCs w:val="24"/>
              </w:rPr>
              <w:t xml:space="preserve">Partners for Fish and Wildlife Program).  </w:t>
            </w:r>
            <w:r w:rsidR="00B81198" w:rsidRPr="00B81198">
              <w:rPr>
                <w:sz w:val="24"/>
                <w:szCs w:val="24"/>
              </w:rPr>
              <w:t xml:space="preserve"> </w:t>
            </w:r>
          </w:p>
          <w:p w:rsidR="0012323F" w:rsidRPr="00D661DA" w:rsidRDefault="00B81198" w:rsidP="0018786B">
            <w:pPr>
              <w:spacing w:after="0" w:line="192" w:lineRule="atLeast"/>
              <w:jc w:val="both"/>
              <w:rPr>
                <w:sz w:val="24"/>
                <w:szCs w:val="24"/>
              </w:rPr>
            </w:pPr>
            <w:r w:rsidRPr="00D661DA">
              <w:rPr>
                <w:sz w:val="24"/>
                <w:szCs w:val="24"/>
              </w:rPr>
              <w:t>Although primarily a freshwater wetland restoration effort</w:t>
            </w:r>
            <w:r w:rsidR="00D661DA">
              <w:rPr>
                <w:sz w:val="24"/>
                <w:szCs w:val="24"/>
              </w:rPr>
              <w:t>,</w:t>
            </w:r>
            <w:r w:rsidRPr="00D661DA">
              <w:rPr>
                <w:sz w:val="24"/>
                <w:szCs w:val="24"/>
              </w:rPr>
              <w:t xml:space="preserve"> the site</w:t>
            </w:r>
            <w:r w:rsidR="00E80B8F">
              <w:rPr>
                <w:sz w:val="24"/>
                <w:szCs w:val="24"/>
              </w:rPr>
              <w:t xml:space="preserve"> (less than a mile from the coast)</w:t>
            </w:r>
            <w:r w:rsidRPr="00D661DA">
              <w:rPr>
                <w:sz w:val="24"/>
                <w:szCs w:val="24"/>
              </w:rPr>
              <w:t xml:space="preserve"> will be suitable for salt marsh migration as sea level rises</w:t>
            </w:r>
            <w:r w:rsidR="003E4054" w:rsidRPr="00D661DA">
              <w:rPr>
                <w:sz w:val="24"/>
                <w:szCs w:val="24"/>
              </w:rPr>
              <w:t>,</w:t>
            </w:r>
            <w:r w:rsidRPr="00D661DA">
              <w:rPr>
                <w:sz w:val="24"/>
                <w:szCs w:val="24"/>
              </w:rPr>
              <w:t xml:space="preserve"> making this </w:t>
            </w:r>
            <w:r w:rsidR="003E4054" w:rsidRPr="00D661DA">
              <w:rPr>
                <w:sz w:val="24"/>
                <w:szCs w:val="24"/>
              </w:rPr>
              <w:t xml:space="preserve">ecological restoration </w:t>
            </w:r>
            <w:r w:rsidRPr="00D661DA">
              <w:rPr>
                <w:sz w:val="24"/>
                <w:szCs w:val="24"/>
              </w:rPr>
              <w:t xml:space="preserve">project an important example of </w:t>
            </w:r>
            <w:r w:rsidR="002909E1" w:rsidRPr="00D661DA">
              <w:rPr>
                <w:sz w:val="24"/>
                <w:szCs w:val="24"/>
              </w:rPr>
              <w:t xml:space="preserve">coastal </w:t>
            </w:r>
            <w:r w:rsidR="00F26FD6" w:rsidRPr="00D661DA">
              <w:rPr>
                <w:sz w:val="24"/>
                <w:szCs w:val="24"/>
              </w:rPr>
              <w:t>resiliency</w:t>
            </w:r>
            <w:r w:rsidRPr="00D661DA">
              <w:rPr>
                <w:sz w:val="24"/>
                <w:szCs w:val="24"/>
              </w:rPr>
              <w:t xml:space="preserve"> and climate change adaptation.</w:t>
            </w:r>
            <w:r w:rsidR="002909E1" w:rsidRPr="00D661DA">
              <w:rPr>
                <w:sz w:val="24"/>
                <w:szCs w:val="24"/>
              </w:rPr>
              <w:t xml:space="preserve"> </w:t>
            </w:r>
          </w:p>
          <w:p w:rsidR="00B81198" w:rsidRPr="00D661DA" w:rsidRDefault="00B81198" w:rsidP="0018786B">
            <w:pPr>
              <w:spacing w:after="0" w:line="192" w:lineRule="atLeast"/>
              <w:jc w:val="both"/>
              <w:rPr>
                <w:sz w:val="24"/>
                <w:szCs w:val="24"/>
              </w:rPr>
            </w:pPr>
          </w:p>
          <w:p w:rsidR="00B81198" w:rsidRPr="00D661DA" w:rsidRDefault="00B81198" w:rsidP="0018786B">
            <w:pPr>
              <w:spacing w:after="0" w:line="192" w:lineRule="atLeast"/>
              <w:jc w:val="both"/>
              <w:rPr>
                <w:sz w:val="24"/>
                <w:szCs w:val="24"/>
              </w:rPr>
            </w:pPr>
            <w:r w:rsidRPr="00D661DA">
              <w:rPr>
                <w:sz w:val="24"/>
                <w:szCs w:val="24"/>
              </w:rPr>
              <w:t xml:space="preserve">This groundbreaking project is </w:t>
            </w:r>
            <w:r w:rsidR="0018786B">
              <w:rPr>
                <w:sz w:val="24"/>
                <w:szCs w:val="24"/>
              </w:rPr>
              <w:t>the result</w:t>
            </w:r>
            <w:r w:rsidRPr="00D661DA">
              <w:rPr>
                <w:sz w:val="24"/>
                <w:szCs w:val="24"/>
              </w:rPr>
              <w:t xml:space="preserve"> of Evan and </w:t>
            </w:r>
            <w:proofErr w:type="spellStart"/>
            <w:r w:rsidRPr="00D661DA">
              <w:rPr>
                <w:sz w:val="24"/>
                <w:szCs w:val="24"/>
              </w:rPr>
              <w:t>Glorianna’s</w:t>
            </w:r>
            <w:proofErr w:type="spellEnd"/>
            <w:r w:rsidRPr="00D661DA">
              <w:rPr>
                <w:sz w:val="24"/>
                <w:szCs w:val="24"/>
              </w:rPr>
              <w:t xml:space="preserve"> vision</w:t>
            </w:r>
            <w:r w:rsidR="00D661DA">
              <w:rPr>
                <w:sz w:val="24"/>
                <w:szCs w:val="24"/>
              </w:rPr>
              <w:t xml:space="preserve"> and dedication to improving the environment for the greater good</w:t>
            </w:r>
            <w:r w:rsidRPr="00D661DA">
              <w:rPr>
                <w:sz w:val="24"/>
                <w:szCs w:val="24"/>
              </w:rPr>
              <w:t xml:space="preserve">. They </w:t>
            </w:r>
            <w:r w:rsidR="003E4054" w:rsidRPr="00D661DA">
              <w:rPr>
                <w:sz w:val="24"/>
                <w:szCs w:val="24"/>
              </w:rPr>
              <w:t>could have sold</w:t>
            </w:r>
            <w:r w:rsidRPr="00D661DA">
              <w:rPr>
                <w:sz w:val="24"/>
                <w:szCs w:val="24"/>
              </w:rPr>
              <w:t xml:space="preserve"> the property for development or continue to farm the site</w:t>
            </w:r>
            <w:r w:rsidR="00D661DA" w:rsidRPr="00D661DA">
              <w:rPr>
                <w:sz w:val="24"/>
                <w:szCs w:val="24"/>
              </w:rPr>
              <w:t>;</w:t>
            </w:r>
            <w:r w:rsidRPr="00D661DA">
              <w:rPr>
                <w:sz w:val="24"/>
                <w:szCs w:val="24"/>
              </w:rPr>
              <w:t xml:space="preserve"> instead they chose to restore the land and create a</w:t>
            </w:r>
            <w:r w:rsidR="003E4054" w:rsidRPr="00D661DA">
              <w:rPr>
                <w:sz w:val="24"/>
                <w:szCs w:val="24"/>
              </w:rPr>
              <w:t xml:space="preserve"> </w:t>
            </w:r>
            <w:r w:rsidRPr="00D661DA">
              <w:rPr>
                <w:sz w:val="24"/>
                <w:szCs w:val="24"/>
              </w:rPr>
              <w:t xml:space="preserve">living laboratory for students and </w:t>
            </w:r>
            <w:r w:rsidR="003E4054" w:rsidRPr="00D661DA">
              <w:rPr>
                <w:sz w:val="24"/>
                <w:szCs w:val="24"/>
              </w:rPr>
              <w:t>practitioners</w:t>
            </w:r>
            <w:r w:rsidRPr="00D661DA">
              <w:rPr>
                <w:sz w:val="24"/>
                <w:szCs w:val="24"/>
              </w:rPr>
              <w:t xml:space="preserve"> to learn </w:t>
            </w:r>
            <w:r w:rsidR="003E4054" w:rsidRPr="00D661DA">
              <w:rPr>
                <w:sz w:val="24"/>
                <w:szCs w:val="24"/>
              </w:rPr>
              <w:t>from and apply</w:t>
            </w:r>
            <w:r w:rsidR="007D0F56" w:rsidRPr="00D661DA">
              <w:rPr>
                <w:sz w:val="24"/>
                <w:szCs w:val="24"/>
              </w:rPr>
              <w:t xml:space="preserve"> lessons</w:t>
            </w:r>
            <w:r w:rsidR="003E4054" w:rsidRPr="00D661DA">
              <w:rPr>
                <w:sz w:val="24"/>
                <w:szCs w:val="24"/>
              </w:rPr>
              <w:t xml:space="preserve"> across the Gulf of Maine.</w:t>
            </w:r>
          </w:p>
          <w:p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CB61B5">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7B5B0D">
              <w:rPr>
                <w:rFonts w:ascii="Calibri" w:eastAsia="Times New Roman" w:hAnsi="Calibri" w:cs="Calibri"/>
                <w:b/>
                <w:sz w:val="20"/>
                <w:szCs w:val="20"/>
              </w:rPr>
              <w:t xml:space="preserve"> (REQUIRED)</w:t>
            </w:r>
            <w:bookmarkStart w:id="0" w:name="_GoBack"/>
            <w:bookmarkEnd w:id="0"/>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9371E4">
              <w:rPr>
                <w:rFonts w:ascii="Calibri" w:eastAsia="Times New Roman" w:hAnsi="Calibri" w:cs="Calibri"/>
                <w:bCs/>
                <w:sz w:val="20"/>
                <w:szCs w:val="20"/>
              </w:rPr>
              <w:t xml:space="preserve"> Tim  Purinton, Director</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9371E4">
              <w:rPr>
                <w:rFonts w:ascii="Calibri" w:eastAsia="Times New Roman" w:hAnsi="Calibri" w:cs="Calibri"/>
                <w:bCs/>
                <w:sz w:val="20"/>
                <w:szCs w:val="20"/>
              </w:rPr>
              <w:t xml:space="preserve"> Massachusetts Division of Ecological Restoration, Department of Fish and Game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9371E4">
              <w:rPr>
                <w:rFonts w:ascii="Calibri" w:eastAsia="Times New Roman" w:hAnsi="Calibri" w:cs="Calibri"/>
                <w:bCs/>
                <w:sz w:val="20"/>
                <w:szCs w:val="20"/>
              </w:rPr>
              <w:t xml:space="preserve"> 251 Causeway St., Suite 400, Boston, MA 02114</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9371E4">
              <w:rPr>
                <w:rFonts w:ascii="Calibri" w:eastAsia="Times New Roman" w:hAnsi="Calibri" w:cs="Calibri"/>
                <w:bCs/>
                <w:sz w:val="20"/>
                <w:szCs w:val="20"/>
              </w:rPr>
              <w:t xml:space="preserve"> 617-616-1542</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9371E4">
              <w:rPr>
                <w:rFonts w:ascii="Calibri" w:eastAsia="Times New Roman" w:hAnsi="Calibri" w:cs="Calibri"/>
                <w:bCs/>
                <w:sz w:val="20"/>
                <w:szCs w:val="20"/>
              </w:rPr>
              <w:t xml:space="preserve"> tim.purinton@state.ma.us</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5E0" w:rsidRDefault="005B75E0" w:rsidP="00C244D3">
      <w:pPr>
        <w:spacing w:after="0" w:line="240" w:lineRule="auto"/>
      </w:pPr>
      <w:r>
        <w:separator/>
      </w:r>
    </w:p>
  </w:endnote>
  <w:endnote w:type="continuationSeparator" w:id="0">
    <w:p w:rsidR="005B75E0" w:rsidRDefault="005B75E0" w:rsidP="00C24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850" w:rsidRPr="00C244D3" w:rsidRDefault="00B86850"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B86850" w:rsidRPr="00066A63" w:rsidRDefault="00B86850"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 xml:space="preserve">The mission of the Council is to maintain and enhance environmental quality in the Gulf of Maine </w:t>
    </w:r>
  </w:p>
  <w:p w:rsidR="00B86850" w:rsidRPr="00066A63" w:rsidRDefault="00B86850"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and to allow for sustainable resource use by existing and future generations</w:t>
    </w:r>
  </w:p>
  <w:p w:rsidR="00B86850" w:rsidRPr="00066A63" w:rsidRDefault="00B86850" w:rsidP="00C244D3">
    <w:pPr>
      <w:spacing w:after="0" w:line="240" w:lineRule="auto"/>
      <w:jc w:val="center"/>
      <w:rPr>
        <w:rFonts w:ascii="Calibri" w:eastAsia="Times New Roman" w:hAnsi="Calibri" w:cs="Times New Roman"/>
        <w:b/>
        <w:noProof/>
        <w:sz w:val="18"/>
        <w:szCs w:val="24"/>
      </w:rPr>
    </w:pPr>
    <w:r w:rsidRPr="00066A63">
      <w:rPr>
        <w:rFonts w:ascii="Calibri" w:eastAsia="Times New Roman" w:hAnsi="Calibri" w:cs="Times New Roman"/>
        <w:b/>
        <w:sz w:val="18"/>
        <w:szCs w:val="24"/>
      </w:rPr>
      <w:t>NH DES / NOAA • 2015-2016 Secretariat</w:t>
    </w:r>
  </w:p>
  <w:p w:rsidR="00B86850" w:rsidRPr="00066A63" w:rsidRDefault="00ED3950" w:rsidP="00C619FC">
    <w:pPr>
      <w:pStyle w:val="Footer"/>
      <w:jc w:val="center"/>
      <w:rPr>
        <w:rFonts w:ascii="Calibri" w:eastAsia="Times New Roman" w:hAnsi="Calibri" w:cs="Times New Roman"/>
        <w:b/>
        <w:noProof/>
        <w:sz w:val="18"/>
        <w:szCs w:val="24"/>
      </w:rPr>
    </w:pPr>
    <w:hyperlink r:id="rId1" w:history="1">
      <w:r w:rsidR="00B86850" w:rsidRPr="00066A63">
        <w:rPr>
          <w:rStyle w:val="Hyperlink"/>
          <w:rFonts w:ascii="Calibri" w:eastAsia="Times New Roman" w:hAnsi="Calibri" w:cs="Times New Roman"/>
          <w:b/>
          <w:noProof/>
          <w:sz w:val="18"/>
          <w:szCs w:val="24"/>
        </w:rPr>
        <w:t>www.gulfofmaine.org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5E0" w:rsidRDefault="005B75E0" w:rsidP="00C244D3">
      <w:pPr>
        <w:spacing w:after="0" w:line="240" w:lineRule="auto"/>
      </w:pPr>
      <w:r>
        <w:separator/>
      </w:r>
    </w:p>
  </w:footnote>
  <w:footnote w:type="continuationSeparator" w:id="0">
    <w:p w:rsidR="005B75E0" w:rsidRDefault="005B75E0" w:rsidP="00C244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B3CDA"/>
    <w:rsid w:val="00030BF3"/>
    <w:rsid w:val="00066A63"/>
    <w:rsid w:val="00107B87"/>
    <w:rsid w:val="0012323F"/>
    <w:rsid w:val="0018786B"/>
    <w:rsid w:val="0019265B"/>
    <w:rsid w:val="001B1C0C"/>
    <w:rsid w:val="00275DA7"/>
    <w:rsid w:val="002909E1"/>
    <w:rsid w:val="002D04C4"/>
    <w:rsid w:val="002D3750"/>
    <w:rsid w:val="0039278E"/>
    <w:rsid w:val="003E4054"/>
    <w:rsid w:val="004621B3"/>
    <w:rsid w:val="004659C2"/>
    <w:rsid w:val="004B3DEF"/>
    <w:rsid w:val="004D0376"/>
    <w:rsid w:val="005923AF"/>
    <w:rsid w:val="005A6B86"/>
    <w:rsid w:val="005B75E0"/>
    <w:rsid w:val="006317CB"/>
    <w:rsid w:val="00632F05"/>
    <w:rsid w:val="00637101"/>
    <w:rsid w:val="00671660"/>
    <w:rsid w:val="007936AE"/>
    <w:rsid w:val="007B5B0D"/>
    <w:rsid w:val="007D0F56"/>
    <w:rsid w:val="007D3289"/>
    <w:rsid w:val="007E1F36"/>
    <w:rsid w:val="008059A8"/>
    <w:rsid w:val="00816D52"/>
    <w:rsid w:val="008409E1"/>
    <w:rsid w:val="008663B0"/>
    <w:rsid w:val="008D0177"/>
    <w:rsid w:val="009371E4"/>
    <w:rsid w:val="009827E1"/>
    <w:rsid w:val="00A935AE"/>
    <w:rsid w:val="00AE304F"/>
    <w:rsid w:val="00B81198"/>
    <w:rsid w:val="00B86850"/>
    <w:rsid w:val="00C244D3"/>
    <w:rsid w:val="00C619FC"/>
    <w:rsid w:val="00CB1E8C"/>
    <w:rsid w:val="00CB61B5"/>
    <w:rsid w:val="00D07184"/>
    <w:rsid w:val="00D661DA"/>
    <w:rsid w:val="00DB3CDA"/>
    <w:rsid w:val="00E2600B"/>
    <w:rsid w:val="00E36092"/>
    <w:rsid w:val="00E80B8F"/>
    <w:rsid w:val="00ED3950"/>
    <w:rsid w:val="00F039FD"/>
    <w:rsid w:val="00F26FD6"/>
    <w:rsid w:val="00F7311B"/>
    <w:rsid w:val="00F73A9F"/>
    <w:rsid w:val="00FC5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D52"/>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paragraph" w:styleId="BodyText">
    <w:name w:val="Body Text"/>
    <w:basedOn w:val="Normal"/>
    <w:link w:val="BodyTextChar"/>
    <w:rsid w:val="00F039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039F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idmarsh.media.mit.ed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fofmaine.org/2/gomc-home/awar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webSettings" Target="webSettings.xml"/><Relationship Id="rId9" Type="http://schemas.openxmlformats.org/officeDocument/2006/relationships/hyperlink" Target="mailto:jleblanc@gulfofmain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dc:creator>
  <cp:lastModifiedBy>TAP</cp:lastModifiedBy>
  <cp:revision>16</cp:revision>
  <dcterms:created xsi:type="dcterms:W3CDTF">2016-02-17T16:39:00Z</dcterms:created>
  <dcterms:modified xsi:type="dcterms:W3CDTF">2016-03-07T19:33:00Z</dcterms:modified>
</cp:coreProperties>
</file>